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71E" w:rsidRPr="0045071E" w:rsidRDefault="0045071E" w:rsidP="0045071E">
      <w:pPr>
        <w:pStyle w:val="Hlavika"/>
        <w:tabs>
          <w:tab w:val="clear" w:pos="4536"/>
          <w:tab w:val="clear" w:pos="9072"/>
        </w:tabs>
        <w:jc w:val="right"/>
        <w:rPr>
          <w:rFonts w:ascii="Times New Roman" w:hAnsi="Times New Roman"/>
          <w:i/>
          <w:szCs w:val="24"/>
          <w:u w:val="single"/>
        </w:rPr>
      </w:pPr>
      <w:r w:rsidRPr="0045071E">
        <w:rPr>
          <w:rFonts w:ascii="Times New Roman" w:hAnsi="Times New Roman"/>
          <w:i/>
          <w:szCs w:val="24"/>
          <w:u w:val="single"/>
        </w:rPr>
        <w:t xml:space="preserve">Príloha č.  </w:t>
      </w:r>
    </w:p>
    <w:p w:rsidR="0045071E" w:rsidRDefault="0045071E" w:rsidP="00D233F9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b/>
          <w:szCs w:val="24"/>
          <w:u w:val="single"/>
        </w:rPr>
      </w:pPr>
    </w:p>
    <w:p w:rsidR="00D233F9" w:rsidRPr="0045071E" w:rsidRDefault="00D233F9" w:rsidP="00D233F9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b/>
          <w:szCs w:val="24"/>
          <w:u w:val="single"/>
        </w:rPr>
      </w:pPr>
      <w:r w:rsidRPr="0045071E">
        <w:rPr>
          <w:rFonts w:ascii="Times New Roman" w:hAnsi="Times New Roman"/>
          <w:b/>
          <w:szCs w:val="24"/>
          <w:u w:val="single"/>
        </w:rPr>
        <w:t>Žiadosť o stavebné povoleni</w:t>
      </w:r>
      <w:r w:rsidR="00B331D2" w:rsidRPr="0045071E">
        <w:rPr>
          <w:rFonts w:ascii="Times New Roman" w:hAnsi="Times New Roman"/>
          <w:b/>
          <w:szCs w:val="24"/>
          <w:u w:val="single"/>
        </w:rPr>
        <w:t>e</w:t>
      </w:r>
    </w:p>
    <w:p w:rsidR="00D233F9" w:rsidRPr="0045071E" w:rsidRDefault="00D233F9" w:rsidP="00D233F9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b/>
          <w:szCs w:val="24"/>
        </w:rPr>
      </w:pPr>
    </w:p>
    <w:p w:rsidR="00D233F9" w:rsidRPr="0045071E" w:rsidRDefault="00D233F9" w:rsidP="00D233F9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b/>
          <w:szCs w:val="24"/>
        </w:rPr>
      </w:pPr>
      <w:r w:rsidRPr="0045071E">
        <w:rPr>
          <w:rFonts w:ascii="Times New Roman" w:hAnsi="Times New Roman"/>
          <w:b/>
          <w:szCs w:val="24"/>
        </w:rPr>
        <w:t>Stavebník</w:t>
      </w:r>
      <w:r w:rsidR="000570FD" w:rsidRPr="0045071E">
        <w:rPr>
          <w:rFonts w:ascii="Times New Roman" w:hAnsi="Times New Roman"/>
          <w:b/>
          <w:szCs w:val="24"/>
        </w:rPr>
        <w:t>:</w:t>
      </w:r>
    </w:p>
    <w:p w:rsidR="00D233F9" w:rsidRPr="0045071E" w:rsidRDefault="00D233F9" w:rsidP="00D233F9">
      <w:pPr>
        <w:pStyle w:val="Zkladntext"/>
        <w:spacing w:after="0"/>
      </w:pPr>
      <w:r w:rsidRPr="0045071E">
        <w:rPr>
          <w:i/>
        </w:rPr>
        <w:t>Obchodné meno</w:t>
      </w:r>
      <w:r w:rsidRPr="0045071E">
        <w:t>: Duslo, a.s.</w:t>
      </w:r>
    </w:p>
    <w:p w:rsidR="00D233F9" w:rsidRPr="0045071E" w:rsidRDefault="00D233F9" w:rsidP="00D233F9">
      <w:pPr>
        <w:pStyle w:val="Zkladntext"/>
        <w:spacing w:after="0"/>
      </w:pPr>
      <w:r w:rsidRPr="0045071E">
        <w:rPr>
          <w:i/>
        </w:rPr>
        <w:t>Sídlo:</w:t>
      </w:r>
      <w:r w:rsidRPr="0045071E">
        <w:t xml:space="preserve"> Administratívna budova, ev. č. 1236</w:t>
      </w:r>
      <w:r w:rsidR="00F51E43" w:rsidRPr="0045071E">
        <w:t xml:space="preserve">, </w:t>
      </w:r>
      <w:r w:rsidRPr="0045071E">
        <w:t>927 03 Šaľa</w:t>
      </w:r>
    </w:p>
    <w:p w:rsidR="00D233F9" w:rsidRPr="0045071E" w:rsidRDefault="00D233F9" w:rsidP="00D233F9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szCs w:val="24"/>
          <w:lang w:val="sk-SK"/>
        </w:rPr>
      </w:pPr>
    </w:p>
    <w:p w:rsidR="00D233F9" w:rsidRPr="0045071E" w:rsidRDefault="00D233F9" w:rsidP="00D233F9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b/>
          <w:szCs w:val="24"/>
          <w:lang w:val="sk-SK"/>
        </w:rPr>
      </w:pPr>
      <w:r w:rsidRPr="0045071E">
        <w:rPr>
          <w:rFonts w:ascii="Times New Roman" w:hAnsi="Times New Roman"/>
          <w:b/>
          <w:szCs w:val="24"/>
          <w:lang w:val="sk-SK"/>
        </w:rPr>
        <w:t>Stavba</w:t>
      </w:r>
      <w:r w:rsidR="000570FD" w:rsidRPr="0045071E">
        <w:rPr>
          <w:rFonts w:ascii="Times New Roman" w:hAnsi="Times New Roman"/>
          <w:b/>
          <w:szCs w:val="24"/>
          <w:lang w:val="sk-SK"/>
        </w:rPr>
        <w:t>:</w:t>
      </w:r>
    </w:p>
    <w:p w:rsidR="004003A7" w:rsidRPr="0045071E" w:rsidRDefault="00D233F9" w:rsidP="00D233F9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45071E">
        <w:rPr>
          <w:rFonts w:ascii="Times New Roman" w:hAnsi="Times New Roman"/>
          <w:i/>
          <w:szCs w:val="24"/>
          <w:lang w:val="sk-SK"/>
        </w:rPr>
        <w:t>Názov</w:t>
      </w:r>
      <w:r w:rsidRPr="0045071E">
        <w:rPr>
          <w:rFonts w:ascii="Times New Roman" w:hAnsi="Times New Roman"/>
          <w:szCs w:val="24"/>
          <w:lang w:val="sk-SK"/>
        </w:rPr>
        <w:t>:</w:t>
      </w:r>
      <w:r w:rsidRPr="0045071E">
        <w:rPr>
          <w:szCs w:val="24"/>
        </w:rPr>
        <w:t xml:space="preserve"> </w:t>
      </w:r>
      <w:r w:rsidR="000D508A" w:rsidRPr="0045071E">
        <w:rPr>
          <w:b/>
          <w:szCs w:val="24"/>
        </w:rPr>
        <w:t>"</w:t>
      </w:r>
      <w:r w:rsidR="0045071E">
        <w:rPr>
          <w:rFonts w:ascii="Times New Roman" w:hAnsi="Times New Roman"/>
          <w:b/>
          <w:szCs w:val="24"/>
        </w:rPr>
        <w:t>Čpavok 4“</w:t>
      </w:r>
      <w:r w:rsidRPr="0045071E">
        <w:rPr>
          <w:rFonts w:ascii="Times New Roman" w:hAnsi="Times New Roman"/>
          <w:szCs w:val="24"/>
        </w:rPr>
        <w:t xml:space="preserve"> </w:t>
      </w:r>
    </w:p>
    <w:p w:rsidR="00D233F9" w:rsidRPr="0045071E" w:rsidRDefault="00D233F9" w:rsidP="00D233F9">
      <w:pPr>
        <w:pStyle w:val="Hlavika"/>
        <w:tabs>
          <w:tab w:val="clear" w:pos="4536"/>
          <w:tab w:val="clear" w:pos="9072"/>
        </w:tabs>
        <w:rPr>
          <w:rFonts w:ascii="Times New Roman" w:hAnsi="Times New Roman"/>
          <w:szCs w:val="24"/>
          <w:lang w:val="sk-SK"/>
        </w:rPr>
      </w:pPr>
      <w:r w:rsidRPr="0045071E">
        <w:rPr>
          <w:rFonts w:ascii="Times New Roman" w:hAnsi="Times New Roman"/>
          <w:i/>
          <w:szCs w:val="24"/>
          <w:lang w:val="sk-SK"/>
        </w:rPr>
        <w:t>Druh</w:t>
      </w:r>
      <w:r w:rsidRPr="0045071E">
        <w:rPr>
          <w:rFonts w:ascii="Times New Roman" w:hAnsi="Times New Roman"/>
          <w:szCs w:val="24"/>
          <w:lang w:val="sk-SK"/>
        </w:rPr>
        <w:t>: priemyselná</w:t>
      </w:r>
    </w:p>
    <w:p w:rsidR="0045071E" w:rsidRDefault="00D233F9" w:rsidP="0045071E">
      <w:pPr>
        <w:jc w:val="both"/>
      </w:pPr>
      <w:r w:rsidRPr="0045071E">
        <w:rPr>
          <w:i/>
        </w:rPr>
        <w:t>Účel</w:t>
      </w:r>
      <w:r w:rsidRPr="0045071E">
        <w:t>:</w:t>
      </w:r>
      <w:r w:rsidRPr="0045071E">
        <w:rPr>
          <w:color w:val="000000"/>
        </w:rPr>
        <w:t xml:space="preserve"> </w:t>
      </w:r>
      <w:r w:rsidR="00F51E43" w:rsidRPr="0045071E">
        <w:rPr>
          <w:color w:val="000000"/>
        </w:rPr>
        <w:t xml:space="preserve"> </w:t>
      </w:r>
      <w:r w:rsidR="0045071E">
        <w:t>Ide o vybudovanie novej prevádzky na výrobu čpavku - Čpavok 4, ktorá nahradí technologicky a energeticky zastaranú existujúcu technológiu výroby čpavku (s doterajšou kapacitou 1300 t/deň) technológiou, ktorá bude spĺňať najnovšie a najprísnejšie energeticko-ekologické kritériá stanovené v rámci EÚ, za súčasného zvýšenia kapacity výroby čpavku pre</w:t>
      </w:r>
      <w:r w:rsidR="00AA7E1A">
        <w:t> </w:t>
      </w:r>
      <w:r w:rsidR="0045071E">
        <w:t xml:space="preserve">potreby Duslo, a.s. a Koncernu AGROFERT.  </w:t>
      </w:r>
    </w:p>
    <w:p w:rsidR="0045071E" w:rsidRDefault="0045071E" w:rsidP="0045071E">
      <w:pPr>
        <w:jc w:val="both"/>
      </w:pPr>
      <w:r>
        <w:t>Nová prevádzka výroby čpavku bude zo suroviny zemný plyn produkovať 1600 t/deň kvapalného čpavku, ktorého časť sa použije na výrobu močoviny v existujúcej prevádzke v Duslo, a.s. a časť vyrobeného kvapalného čpavku bude skladovaná v existujúcom zásobníku. Čpavok je hlavnou surovinou pre nadväzujúce výroby v Duslo, a.s. a ďalej pre predaj.</w:t>
      </w:r>
    </w:p>
    <w:p w:rsidR="0045071E" w:rsidRDefault="0045071E" w:rsidP="0045071E">
      <w:pPr>
        <w:jc w:val="both"/>
      </w:pPr>
      <w:r>
        <w:t>Nová prevádzka bude, ako vedľajší produkt vyrábať plynný CO</w:t>
      </w:r>
      <w:r>
        <w:rPr>
          <w:vertAlign w:val="subscript"/>
        </w:rPr>
        <w:t>2</w:t>
      </w:r>
      <w:r>
        <w:t>, ktorého časť bude použitá ako vstupný produkt pre výrobu močoviny, zvyšok CO</w:t>
      </w:r>
      <w:r>
        <w:rPr>
          <w:vertAlign w:val="subscript"/>
        </w:rPr>
        <w:t>2</w:t>
      </w:r>
      <w:r>
        <w:t xml:space="preserve"> bude vypúšťaný do atmosféry, vo</w:t>
      </w:r>
      <w:r w:rsidR="00AA7E1A">
        <w:t> </w:t>
      </w:r>
      <w:r>
        <w:t xml:space="preserve">výške cca 44 m. </w:t>
      </w:r>
    </w:p>
    <w:p w:rsidR="0045071E" w:rsidRDefault="0045071E" w:rsidP="0045071E">
      <w:pPr>
        <w:jc w:val="both"/>
      </w:pPr>
      <w:r>
        <w:t>V rámci prevádzky bude umiestnený aj náhradný zdroj elektrickej energie (dieselagregát) s výkonom 260 kW. Bude slúžiť ako záložný zdroj elektrickej energie, t.j. bude v plnom rozsahu zásobovať vybrané strojné zariadenia elektrickou energiou výlučne počas núdzovej prevádzky, t.j. v čase výpadku dodávky elektrickej energie a pri pravidelných kontrolách jeho funkčnosti. Elektrický zdrojový agregát nebude pracovať kontinuálne a nebude mať stálu obsluhu. Súčasťou elektrického zdrojového agregátu bude skladová nádrž motorovej nafty s objemom 500 litrov; toto množstvo bude slúžiť max. pre 5 hodín prevádzky. Dieselagregát bude uložený v záchytnej bezodtokovej nádrži, ktorá bude vybudovaná v podlahe objektu, a ktorá bude zhotovená z nepriepustného betónu. Objem vane bude dimenzovaný na zachytenie celého množstva nafty a ostatných motorových náplní v prípade ich úniku.</w:t>
      </w:r>
      <w:r>
        <w:tab/>
        <w:t xml:space="preserve">  </w:t>
      </w:r>
    </w:p>
    <w:p w:rsidR="007F5774" w:rsidRPr="0045071E" w:rsidRDefault="007F5774" w:rsidP="006F74F4">
      <w:pPr>
        <w:jc w:val="both"/>
      </w:pPr>
    </w:p>
    <w:p w:rsidR="00D233F9" w:rsidRPr="006F74F4" w:rsidRDefault="00D233F9" w:rsidP="007F5774">
      <w:pPr>
        <w:pStyle w:val="Hlavika"/>
        <w:tabs>
          <w:tab w:val="clear" w:pos="4536"/>
          <w:tab w:val="clear" w:pos="9072"/>
        </w:tabs>
        <w:ind w:right="-648"/>
        <w:jc w:val="both"/>
        <w:rPr>
          <w:rFonts w:ascii="Times New Roman" w:hAnsi="Times New Roman"/>
          <w:i/>
          <w:szCs w:val="24"/>
        </w:rPr>
      </w:pPr>
      <w:r w:rsidRPr="006F74F4">
        <w:rPr>
          <w:rFonts w:ascii="Times New Roman" w:hAnsi="Times New Roman"/>
          <w:i/>
          <w:szCs w:val="24"/>
        </w:rPr>
        <w:t>Predpokladaný termín realizácie stavby:</w:t>
      </w:r>
    </w:p>
    <w:p w:rsidR="0045071E" w:rsidRDefault="0045071E" w:rsidP="0045071E">
      <w:pPr>
        <w:pStyle w:val="Hlavika"/>
        <w:numPr>
          <w:ilvl w:val="0"/>
          <w:numId w:val="6"/>
        </w:numPr>
        <w:tabs>
          <w:tab w:val="clear" w:pos="4536"/>
          <w:tab w:val="clear" w:pos="9072"/>
        </w:tabs>
        <w:ind w:right="-6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začiatok stavby:          12/2015</w:t>
      </w:r>
    </w:p>
    <w:p w:rsidR="0045071E" w:rsidRDefault="0045071E" w:rsidP="0045071E">
      <w:pPr>
        <w:pStyle w:val="Hlavika"/>
        <w:numPr>
          <w:ilvl w:val="0"/>
          <w:numId w:val="6"/>
        </w:numPr>
        <w:tabs>
          <w:tab w:val="clear" w:pos="4536"/>
          <w:tab w:val="clear" w:pos="9072"/>
        </w:tabs>
        <w:ind w:right="-6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ukončenie stavby:       12/2017 </w:t>
      </w:r>
    </w:p>
    <w:p w:rsidR="0045071E" w:rsidRPr="0045071E" w:rsidRDefault="0045071E" w:rsidP="0045071E">
      <w:pPr>
        <w:pStyle w:val="Hlavika"/>
        <w:numPr>
          <w:ilvl w:val="0"/>
          <w:numId w:val="6"/>
        </w:numPr>
        <w:tabs>
          <w:tab w:val="clear" w:pos="4536"/>
          <w:tab w:val="clear" w:pos="9072"/>
        </w:tabs>
        <w:ind w:right="-64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skúšobná prevádzka:   24 mesiacov po dokončení stavby </w:t>
      </w:r>
    </w:p>
    <w:p w:rsidR="006F74F4" w:rsidRDefault="006F74F4" w:rsidP="00D233F9">
      <w:pPr>
        <w:pStyle w:val="Hlavika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  <w:lang w:val="sk-SK"/>
        </w:rPr>
      </w:pPr>
    </w:p>
    <w:p w:rsidR="00D233F9" w:rsidRPr="0045071E" w:rsidRDefault="00D233F9" w:rsidP="00D233F9">
      <w:pPr>
        <w:pStyle w:val="Hlavika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Cs w:val="24"/>
          <w:lang w:val="sk-SK"/>
        </w:rPr>
      </w:pPr>
      <w:r w:rsidRPr="0045071E">
        <w:rPr>
          <w:rFonts w:ascii="Times New Roman" w:hAnsi="Times New Roman"/>
          <w:b/>
          <w:szCs w:val="24"/>
          <w:lang w:val="sk-SK"/>
        </w:rPr>
        <w:t>Parcelné čísla</w:t>
      </w:r>
      <w:r w:rsidR="000570FD" w:rsidRPr="0045071E">
        <w:rPr>
          <w:rFonts w:ascii="Times New Roman" w:hAnsi="Times New Roman"/>
          <w:b/>
          <w:szCs w:val="24"/>
          <w:lang w:val="sk-SK"/>
        </w:rPr>
        <w:t>:</w:t>
      </w:r>
    </w:p>
    <w:p w:rsidR="000B2331" w:rsidRPr="008F4BFF" w:rsidRDefault="000B2331" w:rsidP="000B2331">
      <w:pPr>
        <w:rPr>
          <w:i/>
        </w:rPr>
      </w:pPr>
      <w:r w:rsidRPr="008F4BFF">
        <w:rPr>
          <w:i/>
        </w:rPr>
        <w:t>katastrálne územie Trnovec nad Váhom:</w:t>
      </w:r>
    </w:p>
    <w:p w:rsidR="000B2331" w:rsidRDefault="000B2331" w:rsidP="000B2331">
      <w:r>
        <w:t xml:space="preserve">1579/2 – voľná plocha    </w:t>
      </w:r>
    </w:p>
    <w:p w:rsidR="000B2331" w:rsidRDefault="000B2331" w:rsidP="000B2331">
      <w:r>
        <w:t>1579/142 –  súpisné č. 1189 - obj. č. 43-11 Výrobný blok a sušenie</w:t>
      </w:r>
    </w:p>
    <w:p w:rsidR="000B2331" w:rsidRDefault="000B2331" w:rsidP="00C8059F">
      <w:pPr>
        <w:jc w:val="both"/>
      </w:pPr>
      <w:r>
        <w:t>1579/141 – súpisné č. 1188 – obj. č. 43-13 Prevádzková budova a obj. č. 43-12 Kompresorovňa</w:t>
      </w:r>
    </w:p>
    <w:p w:rsidR="000B2331" w:rsidRDefault="000B2331" w:rsidP="000B2331">
      <w:pPr>
        <w:ind w:left="1276" w:hanging="1276"/>
        <w:jc w:val="both"/>
      </w:pPr>
      <w:r>
        <w:t xml:space="preserve">1579/87 –  súpisné č. 1424 - obj. č. 43-10 – </w:t>
      </w:r>
      <w:r w:rsidRPr="003370F6">
        <w:t>hala HARD „B“</w:t>
      </w:r>
      <w:r>
        <w:t xml:space="preserve">; </w:t>
      </w:r>
      <w:r w:rsidRPr="008F4BFF">
        <w:t xml:space="preserve">objekt je zbúraný na základe vydaného rozhodnutia na odstránenie stavby obce Močenok pod. č. S/2015/324-2 zo dňa 27.02.2015  </w:t>
      </w:r>
    </w:p>
    <w:p w:rsidR="00E43B7D" w:rsidRPr="00313A86" w:rsidRDefault="00E43B7D" w:rsidP="00E43B7D">
      <w:pPr>
        <w:ind w:left="1276" w:hanging="1276"/>
        <w:jc w:val="both"/>
      </w:pPr>
      <w:r w:rsidRPr="00313A86">
        <w:t>1579/34 - obj. č. 42-33 Sklad olejov na ČP 3</w:t>
      </w:r>
    </w:p>
    <w:p w:rsidR="00E43B7D" w:rsidRPr="00447FA3" w:rsidRDefault="00E43B7D" w:rsidP="00E43B7D">
      <w:pPr>
        <w:ind w:left="1276" w:hanging="1276"/>
        <w:jc w:val="both"/>
      </w:pPr>
      <w:r w:rsidRPr="00313A86">
        <w:t>1579/148 -  obj. č. 42-28 Úpravňa vody (sklad chemikálií) na ČP 3</w:t>
      </w:r>
    </w:p>
    <w:p w:rsidR="00C8059F" w:rsidRDefault="00C8059F" w:rsidP="000B2331">
      <w:pPr>
        <w:rPr>
          <w:i/>
        </w:rPr>
      </w:pPr>
    </w:p>
    <w:p w:rsidR="000B2331" w:rsidRPr="008F4BFF" w:rsidRDefault="000B2331" w:rsidP="000B2331">
      <w:pPr>
        <w:rPr>
          <w:i/>
        </w:rPr>
      </w:pPr>
      <w:r w:rsidRPr="008F4BFF">
        <w:rPr>
          <w:i/>
        </w:rPr>
        <w:lastRenderedPageBreak/>
        <w:t>katastrálne územie Močenok:</w:t>
      </w:r>
    </w:p>
    <w:p w:rsidR="000B2331" w:rsidRDefault="000B2331" w:rsidP="000B2331">
      <w:r>
        <w:t>6040/1 – voľná plocha</w:t>
      </w:r>
    </w:p>
    <w:p w:rsidR="000B2331" w:rsidRDefault="000B2331" w:rsidP="000B2331">
      <w:r>
        <w:t>6040/471 – súpisné č. 2521 - obj. č. 43-11 Výrobný blok a sušenie</w:t>
      </w:r>
    </w:p>
    <w:p w:rsidR="000B2331" w:rsidRDefault="000B2331" w:rsidP="000B2331">
      <w:pPr>
        <w:ind w:left="1134" w:hanging="1134"/>
        <w:jc w:val="both"/>
      </w:pPr>
      <w:r>
        <w:t xml:space="preserve">6040/418 – provizórny objekt; </w:t>
      </w:r>
      <w:r w:rsidRPr="008F4BFF">
        <w:t xml:space="preserve">objekt je zbúraný na základe vydaného rozhodnutia na odstránenie stavby obce Močenok pod. č. S/2015/324-2 zo dňa 27.02.2015  </w:t>
      </w:r>
    </w:p>
    <w:p w:rsidR="000B2331" w:rsidRPr="00447FA3" w:rsidRDefault="000B2331" w:rsidP="000B2331">
      <w:pPr>
        <w:ind w:left="1134" w:hanging="1134"/>
        <w:jc w:val="both"/>
      </w:pPr>
      <w:r>
        <w:t>6040/417 – provizórny objekt;</w:t>
      </w:r>
      <w:r w:rsidRPr="008F4BFF">
        <w:t xml:space="preserve"> objekt je zbúraný na základe vydaného rozhodnutia na odstránenie stavby obce Močenok pod. č. S/2015/324-2 zo dňa 27.02.2015  </w:t>
      </w:r>
    </w:p>
    <w:p w:rsidR="000B2331" w:rsidRDefault="000B2331" w:rsidP="000B2331">
      <w:r>
        <w:t xml:space="preserve">                                                     </w:t>
      </w:r>
    </w:p>
    <w:p w:rsidR="000B2331" w:rsidRPr="00A80F3E" w:rsidRDefault="000B2331" w:rsidP="000B2331">
      <w:pPr>
        <w:jc w:val="both"/>
      </w:pPr>
      <w:r>
        <w:t xml:space="preserve">Prevádzka nesusedí s cudzími pozemkami. Všetky okolité pozemky sú vo vlastníctve prevádzkovateľa. </w:t>
      </w:r>
    </w:p>
    <w:p w:rsidR="00D233F9" w:rsidRPr="0045071E" w:rsidRDefault="00D233F9" w:rsidP="00D233F9">
      <w:pPr>
        <w:pStyle w:val="Hlavika"/>
        <w:tabs>
          <w:tab w:val="clear" w:pos="4536"/>
          <w:tab w:val="clear" w:pos="9072"/>
        </w:tabs>
        <w:jc w:val="both"/>
        <w:rPr>
          <w:rFonts w:ascii="Times New Roman" w:hAnsi="Times New Roman"/>
          <w:szCs w:val="24"/>
          <w:lang w:val="sk-SK"/>
        </w:rPr>
      </w:pPr>
      <w:r w:rsidRPr="0045071E">
        <w:rPr>
          <w:rFonts w:ascii="Times New Roman" w:hAnsi="Times New Roman"/>
          <w:szCs w:val="24"/>
          <w:lang w:val="sk-SK"/>
        </w:rPr>
        <w:t xml:space="preserve">                                                                                                   </w:t>
      </w:r>
    </w:p>
    <w:p w:rsidR="00D233F9" w:rsidRPr="00E43B7D" w:rsidRDefault="00D233F9" w:rsidP="00D233F9">
      <w:pPr>
        <w:pStyle w:val="Zkladntext2"/>
        <w:spacing w:after="0" w:line="240" w:lineRule="auto"/>
        <w:rPr>
          <w:rFonts w:ascii="Times New Roman" w:hAnsi="Times New Roman"/>
          <w:b/>
          <w:szCs w:val="24"/>
        </w:rPr>
      </w:pPr>
      <w:r w:rsidRPr="00E43B7D">
        <w:rPr>
          <w:rFonts w:ascii="Times New Roman" w:hAnsi="Times New Roman"/>
          <w:b/>
          <w:szCs w:val="24"/>
        </w:rPr>
        <w:t>Meno, priezvisko ( názov ) a adresa ( sídlo ) projektanta:</w:t>
      </w:r>
    </w:p>
    <w:p w:rsidR="00D233F9" w:rsidRPr="0045071E" w:rsidRDefault="00997E9A" w:rsidP="00D233F9">
      <w:pPr>
        <w:pStyle w:val="Zkladntext2"/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TECHNIP ITALY S.p.A; KOVOPROJEKTA Brno, a.s., Šumavská 416/15, P.O.BOX 126, 602 00 Brno</w:t>
      </w:r>
    </w:p>
    <w:p w:rsidR="00D233F9" w:rsidRPr="0045071E" w:rsidRDefault="00D233F9" w:rsidP="00D233F9">
      <w:pPr>
        <w:pStyle w:val="Zkladntext2"/>
        <w:spacing w:after="0" w:line="240" w:lineRule="auto"/>
        <w:rPr>
          <w:rFonts w:ascii="Times New Roman" w:hAnsi="Times New Roman"/>
          <w:b/>
          <w:szCs w:val="24"/>
        </w:rPr>
      </w:pPr>
    </w:p>
    <w:p w:rsidR="00D233F9" w:rsidRPr="0045071E" w:rsidRDefault="00D233F9" w:rsidP="00D233F9">
      <w:pPr>
        <w:rPr>
          <w:b/>
        </w:rPr>
      </w:pPr>
      <w:r w:rsidRPr="0045071E">
        <w:rPr>
          <w:b/>
        </w:rPr>
        <w:t>Realizácia stavby:</w:t>
      </w:r>
    </w:p>
    <w:p w:rsidR="00D233F9" w:rsidRPr="0045071E" w:rsidRDefault="00D233F9" w:rsidP="00D233F9">
      <w:r w:rsidRPr="0045071E">
        <w:t>Stavba sa uskutočňuje zhotoviteľom.</w:t>
      </w:r>
    </w:p>
    <w:p w:rsidR="00D233F9" w:rsidRPr="007D18D9" w:rsidRDefault="00D233F9" w:rsidP="00D233F9">
      <w:r w:rsidRPr="007D18D9">
        <w:t>Stavebný dozor budú vykonávať technickí pracovníci</w:t>
      </w:r>
      <w:r w:rsidR="00F94175" w:rsidRPr="007D18D9">
        <w:t xml:space="preserve"> O</w:t>
      </w:r>
      <w:r w:rsidRPr="007D18D9">
        <w:t>dboru investičnej výstavby Duslo, a.s., Šaľa.</w:t>
      </w:r>
    </w:p>
    <w:p w:rsidR="00F94175" w:rsidRPr="0045071E" w:rsidRDefault="00F94175" w:rsidP="00D233F9">
      <w:pPr>
        <w:pStyle w:val="Zkladntext2"/>
        <w:spacing w:after="0" w:line="240" w:lineRule="auto"/>
        <w:rPr>
          <w:rFonts w:ascii="Times New Roman" w:hAnsi="Times New Roman"/>
          <w:b/>
          <w:szCs w:val="24"/>
        </w:rPr>
      </w:pPr>
    </w:p>
    <w:p w:rsidR="00F94175" w:rsidRPr="0045071E" w:rsidRDefault="00D233F9" w:rsidP="00F94175">
      <w:pPr>
        <w:pStyle w:val="Zkladntext2"/>
        <w:spacing w:after="0" w:line="240" w:lineRule="auto"/>
        <w:rPr>
          <w:rFonts w:ascii="Times New Roman" w:hAnsi="Times New Roman"/>
          <w:b/>
          <w:szCs w:val="24"/>
        </w:rPr>
      </w:pPr>
      <w:r w:rsidRPr="0045071E">
        <w:rPr>
          <w:rFonts w:ascii="Times New Roman" w:hAnsi="Times New Roman"/>
          <w:b/>
          <w:szCs w:val="24"/>
        </w:rPr>
        <w:t>Základné údaje o stavbe</w:t>
      </w:r>
      <w:r w:rsidR="000570FD" w:rsidRPr="0045071E">
        <w:rPr>
          <w:rFonts w:ascii="Times New Roman" w:hAnsi="Times New Roman"/>
          <w:b/>
          <w:szCs w:val="24"/>
        </w:rPr>
        <w:t>:</w:t>
      </w:r>
    </w:p>
    <w:p w:rsidR="009854B5" w:rsidRDefault="003B7079" w:rsidP="009854B5">
      <w:pPr>
        <w:jc w:val="both"/>
      </w:pPr>
      <w:r>
        <w:t>Nová prevádzka Čpavok 4 bude umiestnená v areáli spoločnosti Duslo, a.s. Šaľa, vo</w:t>
      </w:r>
      <w:r w:rsidR="00AA7E1A">
        <w:t> </w:t>
      </w:r>
      <w:r>
        <w:t>vzdialenosti 2,5 km od okraja obytnej časti. Stavba sa bude realizovať v bloku 43, v jeho juhovýchodnej časti, v priestore ohraničenom chladiacou vežou vodárne CV4 (objekt 43-03) a cestami 1-1, 5-5 a 10-10. Mimo bloku 43</w:t>
      </w:r>
      <w:r w:rsidR="00290EA0">
        <w:t>, za cestou 10-10 v bloku 53,</w:t>
      </w:r>
      <w:r>
        <w:t xml:space="preserve"> budú umiestnené  poľný horák čpavku</w:t>
      </w:r>
      <w:r w:rsidR="00290EA0">
        <w:t xml:space="preserve"> a</w:t>
      </w:r>
      <w:r w:rsidR="007D18D9">
        <w:t> poľný horák</w:t>
      </w:r>
      <w:r w:rsidR="00290EA0">
        <w:t> syntézneho plynu</w:t>
      </w:r>
      <w:r>
        <w:t xml:space="preserve"> </w:t>
      </w:r>
      <w:r w:rsidR="00290EA0">
        <w:t xml:space="preserve">a podzemná zberná nádrž chemickej kanalizácie (zberná šachta ŠS2.1). </w:t>
      </w:r>
      <w:r w:rsidR="00290EA0" w:rsidRPr="00290EA0">
        <w:t xml:space="preserve">Pripojenie navrhovanej stavby na dopravný systém </w:t>
      </w:r>
      <w:r w:rsidR="00290EA0">
        <w:t>podniku</w:t>
      </w:r>
      <w:r w:rsidR="00290EA0" w:rsidRPr="00290EA0">
        <w:t xml:space="preserve"> je po</w:t>
      </w:r>
      <w:r w:rsidR="00AA7E1A">
        <w:t> </w:t>
      </w:r>
      <w:r w:rsidR="00290EA0">
        <w:t>existujúcich dopravných</w:t>
      </w:r>
      <w:r w:rsidR="00290EA0" w:rsidRPr="00290EA0">
        <w:t xml:space="preserve"> komunikáciách a spevnených plochách.</w:t>
      </w:r>
    </w:p>
    <w:p w:rsidR="009854B5" w:rsidRDefault="009854B5" w:rsidP="009854B5">
      <w:pPr>
        <w:jc w:val="both"/>
      </w:pPr>
      <w:r>
        <w:t>Súčasťou prevádzky Čpavok 4 budú dva klasické stavebné objekty SO 43-21 – Velín a SO 43-</w:t>
      </w:r>
      <w:r w:rsidR="00AA7E1A">
        <w:t> </w:t>
      </w:r>
      <w:r>
        <w:t xml:space="preserve">22 – Rozvodňa, v ktorých bude sústredené vybavenie potrebné pre zásobovanie prevádzky elektrickou energiou a riadenie výrobných procesov. </w:t>
      </w:r>
    </w:p>
    <w:p w:rsidR="00290EA0" w:rsidRDefault="009854B5" w:rsidP="00290EA0">
      <w:pPr>
        <w:jc w:val="both"/>
      </w:pPr>
      <w:r>
        <w:t>V SO 43-21 – Velín bude umiestnené aj zázemie pre zamestnancov; súčasťou SO 43-23 – Procesná jednotka: základy a oceľové konštrukcie  a SO 53-04 – Poľný horák budú podzemné a nadzemné konštrukcie, na ktoré budú kotvené jednotlivé výrobné jednotky a nadzemné potrubné a káblové rozvody. V ďalších objektoch budú podzemné rozvody inžinierskych sietí, zemné práce a dopravné stavby nutné pre hospodárne a bezpečné prevádzkovanie výrobnej jednotky.</w:t>
      </w:r>
      <w:r w:rsidR="00290EA0">
        <w:t xml:space="preserve"> </w:t>
      </w:r>
      <w:r w:rsidR="00290EA0" w:rsidRPr="00290EA0">
        <w:t>Generálny dodávateľ výrobnej jednotky ČPAVOK 4 je TECHNIP S.p.A a licenzor je HALDOR TOPSØE.</w:t>
      </w:r>
    </w:p>
    <w:p w:rsidR="0030483D" w:rsidRPr="00290EA0" w:rsidRDefault="0030483D" w:rsidP="00290EA0">
      <w:pPr>
        <w:jc w:val="both"/>
      </w:pPr>
    </w:p>
    <w:p w:rsidR="00D233F9" w:rsidRPr="00FB7C7C" w:rsidRDefault="00D233F9" w:rsidP="00D233F9">
      <w:pPr>
        <w:pStyle w:val="Zkladntext2"/>
        <w:spacing w:after="0" w:line="240" w:lineRule="auto"/>
        <w:rPr>
          <w:rFonts w:ascii="Times New Roman" w:hAnsi="Times New Roman"/>
          <w:i/>
          <w:color w:val="000000"/>
          <w:szCs w:val="24"/>
          <w:u w:val="single"/>
        </w:rPr>
      </w:pPr>
      <w:r w:rsidRPr="00FB7C7C">
        <w:rPr>
          <w:rFonts w:ascii="Times New Roman" w:hAnsi="Times New Roman"/>
          <w:i/>
          <w:color w:val="000000"/>
          <w:szCs w:val="24"/>
          <w:u w:val="single"/>
        </w:rPr>
        <w:t xml:space="preserve">Členenie stavby </w:t>
      </w:r>
      <w:r w:rsidR="0030483D" w:rsidRPr="00FB7C7C">
        <w:rPr>
          <w:rFonts w:ascii="Times New Roman" w:hAnsi="Times New Roman"/>
          <w:i/>
          <w:color w:val="000000"/>
          <w:szCs w:val="24"/>
          <w:u w:val="single"/>
        </w:rPr>
        <w:t>„</w:t>
      </w:r>
      <w:r w:rsidR="006F74F4" w:rsidRPr="00FB7C7C">
        <w:rPr>
          <w:rFonts w:ascii="Times New Roman" w:hAnsi="Times New Roman"/>
          <w:i/>
          <w:szCs w:val="24"/>
          <w:u w:val="single"/>
        </w:rPr>
        <w:t>Čpavok 4</w:t>
      </w:r>
      <w:r w:rsidRPr="00FB7C7C">
        <w:rPr>
          <w:rFonts w:ascii="Times New Roman" w:hAnsi="Times New Roman"/>
          <w:i/>
          <w:color w:val="000000"/>
          <w:szCs w:val="24"/>
          <w:u w:val="single"/>
        </w:rPr>
        <w:t>" na stavebné objekty</w:t>
      </w:r>
      <w:r w:rsidR="006F74F4" w:rsidRPr="00FB7C7C">
        <w:rPr>
          <w:rFonts w:ascii="Times New Roman" w:hAnsi="Times New Roman"/>
          <w:i/>
          <w:color w:val="000000"/>
          <w:szCs w:val="24"/>
          <w:u w:val="single"/>
        </w:rPr>
        <w:t xml:space="preserve"> a inžinierske objekty</w:t>
      </w:r>
      <w:r w:rsidRPr="00FB7C7C">
        <w:rPr>
          <w:rFonts w:ascii="Times New Roman" w:hAnsi="Times New Roman"/>
          <w:i/>
          <w:color w:val="000000"/>
          <w:szCs w:val="24"/>
          <w:u w:val="single"/>
        </w:rPr>
        <w:t>:</w:t>
      </w:r>
    </w:p>
    <w:p w:rsidR="006F74F4" w:rsidRDefault="006F74F4" w:rsidP="006F74F4">
      <w:pPr>
        <w:jc w:val="both"/>
      </w:pPr>
      <w:r>
        <w:t>Stavebné objekty:</w:t>
      </w:r>
    </w:p>
    <w:p w:rsidR="006F74F4" w:rsidRDefault="006F74F4" w:rsidP="006F74F4">
      <w:pPr>
        <w:pStyle w:val="Odsekzoznamu"/>
        <w:numPr>
          <w:ilvl w:val="0"/>
          <w:numId w:val="7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 43-21  Velín</w:t>
      </w:r>
    </w:p>
    <w:p w:rsidR="006F74F4" w:rsidRDefault="006F74F4" w:rsidP="006F74F4">
      <w:pPr>
        <w:pStyle w:val="Odsekzoznamu"/>
        <w:numPr>
          <w:ilvl w:val="0"/>
          <w:numId w:val="7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SO 43-22  Rozvodňa</w:t>
      </w:r>
    </w:p>
    <w:p w:rsidR="00422CFF" w:rsidRDefault="006F74F4" w:rsidP="00B301E6">
      <w:pPr>
        <w:pStyle w:val="Odsekzoznamu"/>
        <w:numPr>
          <w:ilvl w:val="0"/>
          <w:numId w:val="7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22CFF">
        <w:rPr>
          <w:rFonts w:ascii="Times New Roman" w:hAnsi="Times New Roman" w:cs="Times New Roman"/>
          <w:sz w:val="24"/>
          <w:szCs w:val="24"/>
        </w:rPr>
        <w:t> SO 43-23  Procesná jednotka</w:t>
      </w:r>
    </w:p>
    <w:p w:rsidR="006F74F4" w:rsidRPr="00422CFF" w:rsidRDefault="006F74F4" w:rsidP="00B301E6">
      <w:pPr>
        <w:pStyle w:val="Odsekzoznamu"/>
        <w:numPr>
          <w:ilvl w:val="0"/>
          <w:numId w:val="7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22CFF">
        <w:rPr>
          <w:rFonts w:ascii="Times New Roman" w:hAnsi="Times New Roman" w:cs="Times New Roman"/>
          <w:sz w:val="24"/>
          <w:szCs w:val="24"/>
        </w:rPr>
        <w:t> SO 53-04  Poľný horák</w:t>
      </w:r>
    </w:p>
    <w:p w:rsidR="006F74F4" w:rsidRDefault="006F74F4" w:rsidP="006F74F4">
      <w:pPr>
        <w:jc w:val="both"/>
      </w:pPr>
    </w:p>
    <w:p w:rsidR="006F74F4" w:rsidRDefault="006F74F4" w:rsidP="006F74F4">
      <w:pPr>
        <w:jc w:val="both"/>
      </w:pPr>
      <w:r>
        <w:t>Inžinierske objekty:</w:t>
      </w:r>
    </w:p>
    <w:p w:rsidR="006F74F4" w:rsidRDefault="006F74F4" w:rsidP="006F74F4">
      <w:pPr>
        <w:pStyle w:val="Odsekzoznamu"/>
        <w:numPr>
          <w:ilvl w:val="0"/>
          <w:numId w:val="8"/>
        </w:numPr>
        <w:spacing w:after="0"/>
        <w:ind w:hanging="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SO 30-12  Konečné terénne úpravy</w:t>
      </w:r>
    </w:p>
    <w:p w:rsidR="006F74F4" w:rsidRDefault="006F74F4" w:rsidP="006F74F4">
      <w:pPr>
        <w:pStyle w:val="Odsekzoznamu"/>
        <w:numPr>
          <w:ilvl w:val="0"/>
          <w:numId w:val="8"/>
        </w:numPr>
        <w:spacing w:after="0"/>
        <w:ind w:hanging="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SO 30-09  Kanalizácia a odvodnenie</w:t>
      </w:r>
    </w:p>
    <w:p w:rsidR="006F74F4" w:rsidRDefault="006F74F4" w:rsidP="006F74F4">
      <w:pPr>
        <w:pStyle w:val="Odsekzoznamu"/>
        <w:numPr>
          <w:ilvl w:val="0"/>
          <w:numId w:val="8"/>
        </w:numPr>
        <w:spacing w:after="0"/>
        <w:ind w:hanging="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SO 30-07  Vodovod</w:t>
      </w:r>
    </w:p>
    <w:p w:rsidR="006F74F4" w:rsidRDefault="006F74F4" w:rsidP="006F74F4">
      <w:pPr>
        <w:pStyle w:val="Odsekzoznamu"/>
        <w:numPr>
          <w:ilvl w:val="0"/>
          <w:numId w:val="8"/>
        </w:numPr>
        <w:spacing w:after="0"/>
        <w:ind w:hanging="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 SO 30-01  Spevnené plochy</w:t>
      </w:r>
    </w:p>
    <w:p w:rsidR="006F74F4" w:rsidRDefault="006F74F4" w:rsidP="006F74F4">
      <w:pPr>
        <w:pStyle w:val="Odsekzoznamu"/>
        <w:numPr>
          <w:ilvl w:val="0"/>
          <w:numId w:val="8"/>
        </w:numPr>
        <w:spacing w:after="0"/>
        <w:ind w:hanging="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SO 30-02  Vonkajšie osvetlenie</w:t>
      </w:r>
    </w:p>
    <w:p w:rsidR="006F74F4" w:rsidRDefault="006F74F4" w:rsidP="006F74F4">
      <w:pPr>
        <w:jc w:val="both"/>
      </w:pPr>
    </w:p>
    <w:p w:rsidR="006F74F4" w:rsidRPr="00FB7C7C" w:rsidRDefault="006F74F4" w:rsidP="006F74F4">
      <w:pPr>
        <w:pStyle w:val="Zkladntext2"/>
        <w:spacing w:after="0" w:line="240" w:lineRule="auto"/>
        <w:rPr>
          <w:rFonts w:ascii="Times New Roman" w:hAnsi="Times New Roman"/>
          <w:i/>
          <w:color w:val="000000"/>
          <w:szCs w:val="24"/>
          <w:u w:val="single"/>
        </w:rPr>
      </w:pPr>
      <w:r w:rsidRPr="00FB7C7C">
        <w:rPr>
          <w:rFonts w:ascii="Times New Roman" w:hAnsi="Times New Roman"/>
          <w:i/>
          <w:color w:val="000000"/>
          <w:szCs w:val="24"/>
          <w:u w:val="single"/>
        </w:rPr>
        <w:t>Členenie stavby „</w:t>
      </w:r>
      <w:r w:rsidRPr="00FB7C7C">
        <w:rPr>
          <w:rFonts w:ascii="Times New Roman" w:hAnsi="Times New Roman"/>
          <w:i/>
          <w:szCs w:val="24"/>
          <w:u w:val="single"/>
        </w:rPr>
        <w:t>Čpavok 4</w:t>
      </w:r>
      <w:r w:rsidRPr="00FB7C7C">
        <w:rPr>
          <w:rFonts w:ascii="Times New Roman" w:hAnsi="Times New Roman"/>
          <w:szCs w:val="24"/>
          <w:u w:val="single"/>
        </w:rPr>
        <w:t xml:space="preserve"> </w:t>
      </w:r>
      <w:r w:rsidRPr="00FB7C7C">
        <w:rPr>
          <w:rFonts w:ascii="Times New Roman" w:hAnsi="Times New Roman"/>
          <w:i/>
          <w:color w:val="000000"/>
          <w:szCs w:val="24"/>
          <w:u w:val="single"/>
        </w:rPr>
        <w:t>" na prevádzkové súbory:</w:t>
      </w:r>
    </w:p>
    <w:p w:rsidR="006F74F4" w:rsidRDefault="006F74F4" w:rsidP="006F74F4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PS 10  Technológia prevádzky čpavku</w:t>
      </w:r>
    </w:p>
    <w:p w:rsidR="006F74F4" w:rsidRDefault="006F74F4" w:rsidP="006F74F4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Sekcia 100 - Prívod zemného plynu a systém vykurovacieho plynu</w:t>
      </w:r>
    </w:p>
    <w:p w:rsidR="006F74F4" w:rsidRDefault="006F74F4" w:rsidP="006F74F4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Sekcia 200 - Odsírenie, reforming a konverzia CO</w:t>
      </w:r>
    </w:p>
    <w:p w:rsidR="006F74F4" w:rsidRDefault="006F74F4" w:rsidP="006F74F4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Sekcia 300 - </w:t>
      </w:r>
      <w:r w:rsidR="007D18D9">
        <w:rPr>
          <w:rFonts w:ascii="Times New Roman" w:hAnsi="Times New Roman" w:cs="Times New Roman"/>
          <w:sz w:val="24"/>
          <w:szCs w:val="24"/>
        </w:rPr>
        <w:t>Výpierka</w:t>
      </w:r>
      <w:r>
        <w:rPr>
          <w:rFonts w:ascii="Times New Roman" w:hAnsi="Times New Roman" w:cs="Times New Roman"/>
          <w:sz w:val="24"/>
          <w:szCs w:val="24"/>
        </w:rPr>
        <w:t xml:space="preserve"> CO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 metanizácia</w:t>
      </w:r>
    </w:p>
    <w:p w:rsidR="006F74F4" w:rsidRDefault="006F74F4" w:rsidP="006F74F4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Sekcia 400 - Kompresia</w:t>
      </w:r>
    </w:p>
    <w:p w:rsidR="006F74F4" w:rsidRDefault="006F74F4" w:rsidP="006F74F4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Sekcia 500 – Syntéza čpavku</w:t>
      </w:r>
    </w:p>
    <w:p w:rsidR="006F74F4" w:rsidRDefault="006F74F4" w:rsidP="006F74F4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Sekcia 550 – </w:t>
      </w:r>
      <w:r w:rsidR="007D18D9">
        <w:rPr>
          <w:rFonts w:ascii="Times New Roman" w:hAnsi="Times New Roman" w:cs="Times New Roman"/>
          <w:sz w:val="24"/>
          <w:szCs w:val="24"/>
        </w:rPr>
        <w:t>Spätné získavanie</w:t>
      </w:r>
      <w:r>
        <w:rPr>
          <w:rFonts w:ascii="Times New Roman" w:hAnsi="Times New Roman" w:cs="Times New Roman"/>
          <w:sz w:val="24"/>
          <w:szCs w:val="24"/>
        </w:rPr>
        <w:t xml:space="preserve"> vodíka a čpavku</w:t>
      </w:r>
    </w:p>
    <w:p w:rsidR="006F74F4" w:rsidRDefault="006F74F4" w:rsidP="006F74F4">
      <w:pPr>
        <w:pStyle w:val="Odsekzoznamu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Sekcia 600 – Stripovanie procesného kondenzátu</w:t>
      </w:r>
    </w:p>
    <w:p w:rsidR="006F74F4" w:rsidRDefault="006F74F4" w:rsidP="006F74F4">
      <w:pPr>
        <w:jc w:val="both"/>
      </w:pPr>
    </w:p>
    <w:p w:rsidR="006F74F4" w:rsidRPr="00882936" w:rsidRDefault="006F74F4" w:rsidP="006F74F4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PS 11  Automatický monitorovací systém</w:t>
      </w:r>
    </w:p>
    <w:p w:rsidR="006F74F4" w:rsidRDefault="006F74F4" w:rsidP="006F74F4">
      <w:pPr>
        <w:jc w:val="both"/>
      </w:pPr>
    </w:p>
    <w:p w:rsidR="006F74F4" w:rsidRDefault="006F74F4" w:rsidP="006F74F4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PS 30  Pomocné prevádzky</w:t>
      </w:r>
    </w:p>
    <w:p w:rsidR="006F74F4" w:rsidRDefault="006F74F4" w:rsidP="006F74F4">
      <w:pPr>
        <w:pStyle w:val="Odsekzoznamu"/>
        <w:numPr>
          <w:ilvl w:val="0"/>
          <w:numId w:val="11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Sekcia 650 – Rozvod chladiacej vody</w:t>
      </w:r>
    </w:p>
    <w:p w:rsidR="006F74F4" w:rsidRDefault="006F74F4" w:rsidP="006F74F4">
      <w:pPr>
        <w:pStyle w:val="Odsekzoznamu"/>
        <w:numPr>
          <w:ilvl w:val="0"/>
          <w:numId w:val="11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Sekcia 660 – Rozvod úžitkovej a pitnej vody</w:t>
      </w:r>
    </w:p>
    <w:p w:rsidR="006F74F4" w:rsidRDefault="006F74F4" w:rsidP="006F74F4">
      <w:pPr>
        <w:pStyle w:val="Odsekzoznamu"/>
        <w:numPr>
          <w:ilvl w:val="0"/>
          <w:numId w:val="11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Sekcia 680 – Rozvod demineralizovanej a napájacej vody</w:t>
      </w:r>
    </w:p>
    <w:p w:rsidR="006F74F4" w:rsidRDefault="006F74F4" w:rsidP="006F74F4">
      <w:pPr>
        <w:pStyle w:val="Odsekzoznamu"/>
        <w:numPr>
          <w:ilvl w:val="0"/>
          <w:numId w:val="11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Sekcia 700 – Príprava kotlovej napájacej vody</w:t>
      </w:r>
    </w:p>
    <w:p w:rsidR="006F74F4" w:rsidRDefault="006F74F4" w:rsidP="006F74F4">
      <w:pPr>
        <w:pStyle w:val="Odsekzoznamu"/>
        <w:numPr>
          <w:ilvl w:val="0"/>
          <w:numId w:val="11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Sekcia 750 – Parný a kondenzačný systém</w:t>
      </w:r>
    </w:p>
    <w:p w:rsidR="006F74F4" w:rsidRDefault="006F74F4" w:rsidP="006F74F4">
      <w:pPr>
        <w:pStyle w:val="Odsekzoznamu"/>
        <w:numPr>
          <w:ilvl w:val="0"/>
          <w:numId w:val="11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Sekcia 800 – Sušenie vzduchu a rozvody</w:t>
      </w:r>
    </w:p>
    <w:p w:rsidR="006F74F4" w:rsidRDefault="006F74F4" w:rsidP="006F74F4">
      <w:pPr>
        <w:pStyle w:val="Odsekzoznamu"/>
        <w:numPr>
          <w:ilvl w:val="0"/>
          <w:numId w:val="11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Sekcia 850 – Rozvod dusíka</w:t>
      </w:r>
    </w:p>
    <w:p w:rsidR="006F74F4" w:rsidRDefault="006F74F4" w:rsidP="006F74F4">
      <w:pPr>
        <w:jc w:val="both"/>
      </w:pPr>
    </w:p>
    <w:p w:rsidR="006F74F4" w:rsidRDefault="006F74F4" w:rsidP="006F74F4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PS 40  Poľný horák</w:t>
      </w:r>
    </w:p>
    <w:p w:rsidR="006F74F4" w:rsidRDefault="006F74F4" w:rsidP="006F74F4">
      <w:pPr>
        <w:pStyle w:val="Odsekzoznamu"/>
        <w:numPr>
          <w:ilvl w:val="0"/>
          <w:numId w:val="1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Sekcia 900 – Čpavok a syntézny plyn na poľné horáky</w:t>
      </w:r>
    </w:p>
    <w:p w:rsidR="006F74F4" w:rsidRDefault="006F74F4" w:rsidP="006F74F4">
      <w:pPr>
        <w:pStyle w:val="Odsekzoznamu"/>
        <w:numPr>
          <w:ilvl w:val="0"/>
          <w:numId w:val="1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Sekcia 950 – Systém hasenia a rozvod požiarnej vody</w:t>
      </w:r>
    </w:p>
    <w:p w:rsidR="006F74F4" w:rsidRDefault="006F74F4" w:rsidP="006F74F4">
      <w:pPr>
        <w:pStyle w:val="Odsekzoznamu"/>
        <w:numPr>
          <w:ilvl w:val="0"/>
          <w:numId w:val="12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Sekcia 980 – Zhromažďovanie odpadových a splaškových vôd</w:t>
      </w:r>
    </w:p>
    <w:p w:rsidR="006F74F4" w:rsidRDefault="006F74F4" w:rsidP="006F74F4">
      <w:pPr>
        <w:jc w:val="both"/>
      </w:pPr>
    </w:p>
    <w:p w:rsidR="006F74F4" w:rsidRDefault="00FB7C7C" w:rsidP="006F74F4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PS 50  Rozvodňa</w:t>
      </w:r>
    </w:p>
    <w:p w:rsidR="006F74F4" w:rsidRDefault="006F74F4" w:rsidP="006F74F4">
      <w:pPr>
        <w:pStyle w:val="Odsekzoznamu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PS 60  Velín</w:t>
      </w:r>
    </w:p>
    <w:p w:rsidR="006F74F4" w:rsidRDefault="006F74F4" w:rsidP="00D233F9">
      <w:pPr>
        <w:rPr>
          <w:i/>
        </w:rPr>
      </w:pPr>
    </w:p>
    <w:p w:rsidR="00D233F9" w:rsidRPr="00FB7C7C" w:rsidRDefault="00D233F9" w:rsidP="00D233F9">
      <w:pPr>
        <w:rPr>
          <w:i/>
          <w:u w:val="single"/>
        </w:rPr>
      </w:pPr>
      <w:r w:rsidRPr="00FB7C7C">
        <w:rPr>
          <w:i/>
          <w:u w:val="single"/>
        </w:rPr>
        <w:t>Stavebno-technické riešenie stavby, popis technológie:</w:t>
      </w:r>
    </w:p>
    <w:p w:rsidR="00E62721" w:rsidRDefault="00E62721" w:rsidP="006F74F4">
      <w:pPr>
        <w:pStyle w:val="Nadpis3"/>
        <w:spacing w:before="0" w:after="0"/>
        <w:rPr>
          <w:rFonts w:ascii="Times New Roman" w:hAnsi="Times New Roman"/>
          <w:b w:val="0"/>
          <w:iCs/>
          <w:sz w:val="24"/>
          <w:szCs w:val="24"/>
          <w:u w:val="single"/>
        </w:rPr>
      </w:pPr>
      <w:bookmarkStart w:id="0" w:name="_Toc213220888"/>
      <w:r w:rsidRPr="0045071E">
        <w:rPr>
          <w:rFonts w:ascii="Times New Roman" w:hAnsi="Times New Roman"/>
          <w:b w:val="0"/>
          <w:iCs/>
          <w:sz w:val="24"/>
          <w:szCs w:val="24"/>
          <w:u w:val="single"/>
        </w:rPr>
        <w:t xml:space="preserve">SO </w:t>
      </w:r>
      <w:bookmarkEnd w:id="0"/>
      <w:r w:rsidR="006F74F4">
        <w:rPr>
          <w:rFonts w:ascii="Times New Roman" w:hAnsi="Times New Roman"/>
          <w:b w:val="0"/>
          <w:iCs/>
          <w:sz w:val="24"/>
          <w:szCs w:val="24"/>
          <w:u w:val="single"/>
        </w:rPr>
        <w:t xml:space="preserve">43-21 </w:t>
      </w:r>
      <w:r w:rsidR="008E7E22">
        <w:rPr>
          <w:rFonts w:ascii="Times New Roman" w:hAnsi="Times New Roman"/>
          <w:b w:val="0"/>
          <w:iCs/>
          <w:sz w:val="24"/>
          <w:szCs w:val="24"/>
          <w:u w:val="single"/>
        </w:rPr>
        <w:t xml:space="preserve"> </w:t>
      </w:r>
      <w:r w:rsidR="006F74F4">
        <w:rPr>
          <w:rFonts w:ascii="Times New Roman" w:hAnsi="Times New Roman"/>
          <w:b w:val="0"/>
          <w:iCs/>
          <w:sz w:val="24"/>
          <w:szCs w:val="24"/>
          <w:u w:val="single"/>
        </w:rPr>
        <w:t>Velín</w:t>
      </w:r>
    </w:p>
    <w:p w:rsidR="003F1A2E" w:rsidRDefault="00642350" w:rsidP="003F1A2E">
      <w:pPr>
        <w:jc w:val="both"/>
      </w:pPr>
      <w:r>
        <w:t xml:space="preserve">Objekt je navrhnutý ako jednopodlažný s plochou strechou. Dispozičné usporiadanie bude troj až štvor trakt. </w:t>
      </w:r>
      <w:r w:rsidR="003F1A2E">
        <w:t xml:space="preserve">V objekte bude umiestnené riadiace centrum prevádzky Čpavok 4. Dispozične bude objekt rozdelený na tri časti. V SZ časti sa budú nachádzať technické priestory – m.č. 1.01 Miestnosť UPS, 1.02 Rozvodňa MaR a 1.03 Strojovňa vzduchotechniky; stredná časť bude vyhradená pre vlastný velín so zázemím – m.č. 1.04 Velín, 1.05 Inžinierska miestnosť, 1.06 Miestnosť OTS –prevádzkový tréningový simulátor, 1.07 WC ženy, 1.08 WC muži a 1.09 Kancelária; JV časť bude slúžiť ako zázemie zamestnancov, ktorí majú trvalé pracovisko aj v budove aj v prevádzke. Táto časť bude zahŕňať vrátane komunikácií a komunikačných plôch a zázemia budovy a prevádzky priestory – m.č. 1.10 Denná miestnosť, 1.11 a 1.13 Zádverie, 1.12 Chodba, 1.14 Upratovacia komora, 1.15 WC muži, 1.16 Sprchy, 1.17 Šatňa a 1.18, 1.19 Sklad. </w:t>
      </w:r>
    </w:p>
    <w:p w:rsidR="003F1A2E" w:rsidRDefault="003F1A2E" w:rsidP="003F1A2E">
      <w:pPr>
        <w:jc w:val="both"/>
      </w:pPr>
      <w:r>
        <w:t xml:space="preserve">Objekt bude založený na železobetónovej monolitickej doske. Horná stavba je navrhnutá ako železobetónový skelet. Obvodové steny budú betónové a vnútorné priečky budú vymurované </w:t>
      </w:r>
      <w:r>
        <w:lastRenderedPageBreak/>
        <w:t>z keramických blokov, vnútorné deliace konštrukcie budú z keramických tvaroviek a sadrokartónových dosiek. Obvodové steny budú z vnútornej strany opatrené tepelnou izoláciou zakrytou sadrokartónovou predstenou. Podlahy budú zateplené, v priestoroch bez</w:t>
      </w:r>
      <w:r w:rsidR="00AA7E1A">
        <w:t> </w:t>
      </w:r>
      <w:r>
        <w:t>zdvojenej podlahy budú opatrené epoxidovou stierkou alebo keramickou dlažbou. Na</w:t>
      </w:r>
      <w:r w:rsidR="00AA7E1A">
        <w:t> </w:t>
      </w:r>
      <w:r>
        <w:t>stropnej doske bude zhotovený pochôdzny strešný plášť s nášľapnou vrstvou zo spekanej dlažby.</w:t>
      </w:r>
    </w:p>
    <w:p w:rsidR="003F1A2E" w:rsidRDefault="003F1A2E" w:rsidP="003F1A2E">
      <w:pPr>
        <w:jc w:val="both"/>
      </w:pPr>
      <w:r>
        <w:t xml:space="preserve">Vo vnútorných priestoroch budú namontované zavesené podhľady. Steny budú opatrené omietkou s maľbou alebo keramickým obkladom v hygienických miestnostiach. Výplne otvorov budú oceľové a hliníkové, otvárateľné okná budú pevné.  </w:t>
      </w:r>
    </w:p>
    <w:p w:rsidR="003F1A2E" w:rsidRDefault="003F1A2E" w:rsidP="003F1A2E">
      <w:pPr>
        <w:jc w:val="both"/>
      </w:pPr>
      <w:r w:rsidRPr="0095006D">
        <w:t xml:space="preserve">Objekt bude napojený na vodovod a splaškovú kanalizáciu. </w:t>
      </w:r>
      <w:r>
        <w:t>B</w:t>
      </w:r>
      <w:r w:rsidRPr="0095006D">
        <w:t>ude uzemnený, opatrený hromozvodom a bude napojený na silnoprúdové a slaboprúdové rozvody. Vnútorné priestory budú umelo osvetlené, vybavené silnoprúdovými a slaboprúdovými rozvodmi, budú vykurované, nútene</w:t>
      </w:r>
      <w:r>
        <w:t xml:space="preserve"> vetrané a z veľkej časti i ochladzované. </w:t>
      </w:r>
    </w:p>
    <w:p w:rsidR="00AB64C3" w:rsidRPr="003F1A2E" w:rsidRDefault="00AB64C3" w:rsidP="003F1A2E">
      <w:pPr>
        <w:jc w:val="both"/>
      </w:pPr>
    </w:p>
    <w:p w:rsidR="003F1A2E" w:rsidRDefault="003F1A2E" w:rsidP="003F1A2E">
      <w:pPr>
        <w:pStyle w:val="Nadpis3"/>
        <w:spacing w:before="0" w:after="0"/>
        <w:rPr>
          <w:rFonts w:ascii="Times New Roman" w:hAnsi="Times New Roman"/>
          <w:b w:val="0"/>
          <w:iCs/>
          <w:sz w:val="24"/>
          <w:szCs w:val="24"/>
          <w:u w:val="single"/>
        </w:rPr>
      </w:pPr>
      <w:r w:rsidRPr="0045071E">
        <w:rPr>
          <w:rFonts w:ascii="Times New Roman" w:hAnsi="Times New Roman"/>
          <w:b w:val="0"/>
          <w:iCs/>
          <w:sz w:val="24"/>
          <w:szCs w:val="24"/>
          <w:u w:val="single"/>
        </w:rPr>
        <w:t xml:space="preserve">SO </w:t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 xml:space="preserve">43-22 </w:t>
      </w:r>
      <w:r w:rsidR="008E7E22">
        <w:rPr>
          <w:rFonts w:ascii="Times New Roman" w:hAnsi="Times New Roman"/>
          <w:b w:val="0"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>Rozvodňa</w:t>
      </w:r>
    </w:p>
    <w:p w:rsidR="008E7E22" w:rsidRDefault="008E7E22" w:rsidP="008E7E22">
      <w:pPr>
        <w:jc w:val="both"/>
      </w:pPr>
      <w:r>
        <w:t xml:space="preserve">Objekt je navrhnutý ako dvojpodlažný s plochou strechou. Dispozičné usporiadanie bude dvoj a troj trakt. Objekt  bude rozdelený  na dve časti. V jednopodlažnej SZ časti budú umiestnené m.č.1.02 Transformovňa, 1.03 Transformovňa a 1.04 Diesel generátor; v dvojpodlažnej JV časti bude na 1. NP m.č. 1.01 Káblový priestor a na 2. NP 2.01 Rozvodňa. </w:t>
      </w:r>
    </w:p>
    <w:p w:rsidR="008E7E22" w:rsidRPr="0095006D" w:rsidRDefault="008E7E22" w:rsidP="008E7E22">
      <w:pPr>
        <w:jc w:val="both"/>
      </w:pPr>
      <w:r>
        <w:t xml:space="preserve">Objekt bude založený na železobetónovom monolitickom základovom rošte. Transformátory a dieselagregát budú založené samostatne na blokoch. </w:t>
      </w:r>
    </w:p>
    <w:p w:rsidR="008E7E22" w:rsidRPr="0095006D" w:rsidRDefault="008E7E22" w:rsidP="008E7E22">
      <w:pPr>
        <w:jc w:val="both"/>
      </w:pPr>
      <w:r w:rsidRPr="0095006D">
        <w:t>Transformátory sú navrhnuté suché, súčasťou diesel agregátu bude záchytná nádrž a nádrž na</w:t>
      </w:r>
      <w:r w:rsidR="00AA7E1A">
        <w:t> </w:t>
      </w:r>
      <w:r w:rsidRPr="0095006D">
        <w:t>pohonné hmoty, rozvádzače budú so spodným pripojením.</w:t>
      </w:r>
    </w:p>
    <w:p w:rsidR="008E7E22" w:rsidRPr="0095006D" w:rsidRDefault="008E7E22" w:rsidP="008E7E22">
      <w:pPr>
        <w:jc w:val="both"/>
      </w:pPr>
      <w:r w:rsidRPr="0095006D">
        <w:t>Objekt nebude napojený na vodovod ani splaškovú a dažďovú  kanalizáciu. Dažďová voda bude dažďovými vpus</w:t>
      </w:r>
      <w:r>
        <w:t>ť</w:t>
      </w:r>
      <w:r w:rsidRPr="0095006D">
        <w:t xml:space="preserve">ami vyvedená do okolitých štrkových plôch. Objekt bude uzemnený, opatrený hromozvodom a bude napojený na silnoprúdové a slaboprúdové rozvody. Vnútorné priestory budú umelo osvetlené, vybavené silnoprúdovými a slaboprúdovými obvodmi, budú temperované, nútene vetrané a z veľkej časti aj ochladzované. </w:t>
      </w:r>
    </w:p>
    <w:p w:rsidR="008E7E22" w:rsidRDefault="008E7E22" w:rsidP="003F1A2E">
      <w:pPr>
        <w:jc w:val="both"/>
      </w:pPr>
    </w:p>
    <w:p w:rsidR="008E7E22" w:rsidRDefault="008E7E22" w:rsidP="008E7E22">
      <w:pPr>
        <w:pStyle w:val="Nadpis3"/>
        <w:spacing w:before="0" w:after="0"/>
        <w:rPr>
          <w:rFonts w:ascii="Times New Roman" w:hAnsi="Times New Roman"/>
          <w:b w:val="0"/>
          <w:iCs/>
          <w:sz w:val="24"/>
          <w:szCs w:val="24"/>
          <w:u w:val="single"/>
        </w:rPr>
      </w:pPr>
      <w:r w:rsidRPr="0045071E">
        <w:rPr>
          <w:rFonts w:ascii="Times New Roman" w:hAnsi="Times New Roman"/>
          <w:b w:val="0"/>
          <w:iCs/>
          <w:sz w:val="24"/>
          <w:szCs w:val="24"/>
          <w:u w:val="single"/>
        </w:rPr>
        <w:t xml:space="preserve">SO </w:t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>43-23  Procesná jednotka</w:t>
      </w:r>
    </w:p>
    <w:p w:rsidR="008E7E22" w:rsidRPr="008E7E22" w:rsidRDefault="008E7E22" w:rsidP="008E7E22">
      <w:pPr>
        <w:jc w:val="both"/>
      </w:pPr>
      <w:r>
        <w:t>V tomto stavebnom objekte sú navrhnuté oceľové a betónové konštrukcie určené pre statické polohové zaistenie technologických zariadení a rozvodov, prípadne pre ich ochranu pred</w:t>
      </w:r>
      <w:r w:rsidR="00AA7E1A">
        <w:t> </w:t>
      </w:r>
      <w:r>
        <w:t>poveternostnými vplyvmi, pre pohyb zamestnancov zaisťujúcich nevyhnutnú obsluhu a údržbu a pre manipuláciu s technologickými aparátmi alebo ich časťami pri montáži, demontáži a údržbe. Požiarne zaistenie stability konštrukcií nie je požadované.</w:t>
      </w:r>
    </w:p>
    <w:p w:rsidR="008E7E22" w:rsidRDefault="008E7E22" w:rsidP="003F1A2E">
      <w:pPr>
        <w:jc w:val="both"/>
      </w:pPr>
    </w:p>
    <w:p w:rsidR="008E7E22" w:rsidRPr="00100215" w:rsidRDefault="008E7E22" w:rsidP="00100215">
      <w:pPr>
        <w:pStyle w:val="Nadpis3"/>
        <w:spacing w:before="0" w:after="0"/>
        <w:rPr>
          <w:rFonts w:ascii="Times New Roman" w:hAnsi="Times New Roman"/>
          <w:b w:val="0"/>
          <w:iCs/>
          <w:sz w:val="24"/>
          <w:szCs w:val="24"/>
          <w:u w:val="single"/>
        </w:rPr>
      </w:pPr>
      <w:r w:rsidRPr="0045071E">
        <w:rPr>
          <w:rFonts w:ascii="Times New Roman" w:hAnsi="Times New Roman"/>
          <w:b w:val="0"/>
          <w:iCs/>
          <w:sz w:val="24"/>
          <w:szCs w:val="24"/>
          <w:u w:val="single"/>
        </w:rPr>
        <w:t xml:space="preserve">SO </w:t>
      </w:r>
      <w:r>
        <w:rPr>
          <w:rFonts w:ascii="Times New Roman" w:hAnsi="Times New Roman"/>
          <w:b w:val="0"/>
          <w:iCs/>
          <w:sz w:val="24"/>
          <w:szCs w:val="24"/>
          <w:u w:val="single"/>
        </w:rPr>
        <w:t>53-04  Poľný horák</w:t>
      </w:r>
      <w:bookmarkStart w:id="1" w:name="_Toc414995144"/>
      <w:bookmarkStart w:id="2" w:name="_Toc414999345"/>
    </w:p>
    <w:bookmarkEnd w:id="1"/>
    <w:bookmarkEnd w:id="2"/>
    <w:p w:rsidR="008E7E22" w:rsidRPr="008E7E22" w:rsidRDefault="008E7E22" w:rsidP="008E7E22">
      <w:pPr>
        <w:jc w:val="both"/>
      </w:pPr>
      <w:r w:rsidRPr="0095006D">
        <w:t>Základy pre technologické konštrukcie a zariadenie sú predovšetkým tvorené vŕtanými pilótami priemeru 600 mm s premennou dĺžkou. Na pilóty sú nadbetónované pilótové hlavice alebo základové dosky s podstavcami pre kotvenie konštrukcií</w:t>
      </w:r>
      <w:r>
        <w:t xml:space="preserve"> a zaradení. Konštrukcie </w:t>
      </w:r>
      <w:r w:rsidR="00100215">
        <w:t xml:space="preserve">budú </w:t>
      </w:r>
      <w:r>
        <w:t xml:space="preserve">železobetónové, výstuž je posúdená v jednotlivých statických výpočtoch. </w:t>
      </w:r>
      <w:r w:rsidRPr="008E7E22">
        <w:t xml:space="preserve"> </w:t>
      </w:r>
    </w:p>
    <w:p w:rsidR="008E7E22" w:rsidRPr="008E7E22" w:rsidRDefault="008E7E22" w:rsidP="008E7E22">
      <w:pPr>
        <w:pStyle w:val="odst2"/>
        <w:ind w:left="0"/>
        <w:rPr>
          <w:rFonts w:ascii="Times New Roman" w:hAnsi="Times New Roman"/>
          <w:w w:val="100"/>
          <w:sz w:val="24"/>
          <w:szCs w:val="24"/>
          <w:highlight w:val="yellow"/>
        </w:rPr>
      </w:pPr>
      <w:r w:rsidRPr="008E7E22">
        <w:rPr>
          <w:rFonts w:ascii="Times New Roman" w:hAnsi="Times New Roman"/>
          <w:w w:val="100"/>
          <w:sz w:val="24"/>
          <w:szCs w:val="24"/>
        </w:rPr>
        <w:t xml:space="preserve">Potrubné mosty a plošiny výrobných sekcií sú navrhnuté rámové s výstuhami. Konštrukcie budú dodané vrátane schodísk, rebríkov a zábradlí. Konštrukcie budú vyrobené z oceľových valcovaných profilov, pochôdzkové plochy budú z pororoštov. </w:t>
      </w:r>
    </w:p>
    <w:p w:rsidR="008E7E22" w:rsidRDefault="008E7E22" w:rsidP="003F1A2E">
      <w:pPr>
        <w:jc w:val="both"/>
      </w:pPr>
    </w:p>
    <w:p w:rsidR="00100215" w:rsidRPr="00100215" w:rsidRDefault="00100215" w:rsidP="003F1A2E">
      <w:pPr>
        <w:jc w:val="both"/>
        <w:rPr>
          <w:u w:val="single"/>
        </w:rPr>
      </w:pPr>
      <w:r w:rsidRPr="00100215">
        <w:rPr>
          <w:u w:val="single"/>
        </w:rPr>
        <w:t>SO 30-01  Spevnené plochy a SO 30-12  Konečné terénne úpravy</w:t>
      </w:r>
    </w:p>
    <w:p w:rsidR="00100215" w:rsidRDefault="00100215" w:rsidP="00100215">
      <w:pPr>
        <w:jc w:val="both"/>
      </w:pPr>
      <w:r>
        <w:t>V rámci týchto objektov budú vybudované nové spevnené plochy, odvodnenie nových spevnených plôch a po všetkých stavebných prácach budú vykonané konečné terénne úpravy vrátane ohumusovania a zatrávnenia.</w:t>
      </w:r>
    </w:p>
    <w:p w:rsidR="00100215" w:rsidRDefault="00100215" w:rsidP="00100215">
      <w:pPr>
        <w:jc w:val="both"/>
      </w:pPr>
    </w:p>
    <w:p w:rsidR="006F74F4" w:rsidRPr="00C745DD" w:rsidRDefault="00C745DD" w:rsidP="00100215">
      <w:pPr>
        <w:jc w:val="both"/>
        <w:rPr>
          <w:u w:val="single"/>
        </w:rPr>
      </w:pPr>
      <w:r w:rsidRPr="00C745DD">
        <w:rPr>
          <w:u w:val="single"/>
        </w:rPr>
        <w:lastRenderedPageBreak/>
        <w:t>SO 30-07  Vodovod</w:t>
      </w:r>
      <w:r w:rsidR="00100215" w:rsidRPr="00C745DD">
        <w:rPr>
          <w:u w:val="single"/>
        </w:rPr>
        <w:t xml:space="preserve">   </w:t>
      </w:r>
    </w:p>
    <w:p w:rsidR="00C745DD" w:rsidRDefault="00C745DD" w:rsidP="00C745DD">
      <w:pPr>
        <w:jc w:val="both"/>
      </w:pPr>
      <w:r>
        <w:t>Predmetom tohto stavebného objektu</w:t>
      </w:r>
      <w:r w:rsidRPr="00C745DD">
        <w:t xml:space="preserve"> sú rozvody filtrovanej vody a pitnej vody. Obe vody budú odoberané z vnútropodnikových rozvodov, budú napojené na existujúce rozvody.</w:t>
      </w:r>
    </w:p>
    <w:p w:rsidR="00AA7E1A" w:rsidRDefault="00AA7E1A" w:rsidP="00C745DD">
      <w:pPr>
        <w:jc w:val="both"/>
        <w:rPr>
          <w:u w:val="single"/>
        </w:rPr>
      </w:pPr>
    </w:p>
    <w:p w:rsidR="00C745DD" w:rsidRPr="00C745DD" w:rsidRDefault="00C745DD" w:rsidP="00C745DD">
      <w:pPr>
        <w:jc w:val="both"/>
        <w:rPr>
          <w:u w:val="single"/>
        </w:rPr>
      </w:pPr>
      <w:r w:rsidRPr="00C745DD">
        <w:rPr>
          <w:u w:val="single"/>
        </w:rPr>
        <w:t xml:space="preserve">SO 30-09  Kanalizácia a odvodnenie </w:t>
      </w:r>
    </w:p>
    <w:p w:rsidR="006F74F4" w:rsidRPr="00C745DD" w:rsidRDefault="00C745DD" w:rsidP="00C745DD">
      <w:pPr>
        <w:jc w:val="both"/>
      </w:pPr>
      <w:r w:rsidRPr="00C745DD">
        <w:t xml:space="preserve">V tomto stavebnom objekte </w:t>
      </w:r>
      <w:r>
        <w:t xml:space="preserve">je riešená </w:t>
      </w:r>
      <w:r w:rsidRPr="00C745DD">
        <w:t>chemická kanalizácia, splašková kanalizácia a potrubná časť dažďovej kanalizácie (povrchové odvodnenie – ž</w:t>
      </w:r>
      <w:r>
        <w:t>ľ</w:t>
      </w:r>
      <w:r w:rsidRPr="00C745DD">
        <w:t>aby sú súčasťou SO 30-01 Spevnené plochy</w:t>
      </w:r>
      <w:r w:rsidRPr="00C745DD">
        <w:rPr>
          <w:lang w:val="cs-CZ"/>
        </w:rPr>
        <w:t>)</w:t>
      </w:r>
      <w:r w:rsidRPr="00C745DD">
        <w:t xml:space="preserve">. </w:t>
      </w:r>
      <w:r>
        <w:t>Riešená kanalizácia bude zabezpečovať odvádzanie odpadových vôd z prevádzky.</w:t>
      </w:r>
    </w:p>
    <w:p w:rsidR="00C745DD" w:rsidRDefault="00C745DD" w:rsidP="00C745DD">
      <w:pPr>
        <w:jc w:val="both"/>
      </w:pPr>
      <w:r>
        <w:t>Pre odpadové vody z výrobnej jednotky Čpavok 4 je navrhnutá chemická kanalizácia, pre</w:t>
      </w:r>
      <w:r w:rsidR="00AA7E1A">
        <w:t> </w:t>
      </w:r>
      <w:r>
        <w:t>dažďové vody dažďová kanalizácia a pre splaškové odpadové vody splašková kanalizácia.</w:t>
      </w:r>
    </w:p>
    <w:p w:rsidR="00C745DD" w:rsidRDefault="00C745DD" w:rsidP="00C745DD">
      <w:pPr>
        <w:jc w:val="both"/>
      </w:pPr>
      <w:r>
        <w:t>Chemická kanalizácia bude po celej výrobnej jednotke a bude slúžiť na riadené prečerpávanie potenciálne kontaminovaných dažďových vôd z </w:t>
      </w:r>
      <w:r w:rsidRPr="007D18D9">
        <w:t>ohraničených plôch</w:t>
      </w:r>
      <w:r>
        <w:t>, oplachových vôd sekcie 500 počas plánovaných odstávok a kondenzátu z odlučovačov (odlučovač poľného horáka, odlučovače na trasách odplynov zo sekcie 300 a HRU) do vnútropodnikovej  chemickej kanalizácie privedenej na MB ČOV.  Chemická kanalizácia prevádzky bude ústiť do pozemnej nádrže – zbernej šachty, v juhovýchodnej časti výrobnej jednotky, z ktorej bude prečerpávaná cez nadzemný potrubný most do existujúcej vnútropodnikovej chemickej kanalizácie.</w:t>
      </w:r>
    </w:p>
    <w:p w:rsidR="00C745DD" w:rsidRDefault="00C745DD" w:rsidP="00C745DD">
      <w:pPr>
        <w:jc w:val="both"/>
      </w:pPr>
      <w:r>
        <w:t xml:space="preserve">Odvádzanie dažďových vôd z plochy výrobnej jednotky je riešené povrchovým odtokom vôd do otvorených žľabov s mriežkou. </w:t>
      </w:r>
    </w:p>
    <w:p w:rsidR="0087123C" w:rsidRDefault="0087123C" w:rsidP="00C745DD">
      <w:pPr>
        <w:jc w:val="both"/>
      </w:pPr>
    </w:p>
    <w:p w:rsidR="00FB7C7C" w:rsidRPr="00FB7C7C" w:rsidRDefault="00FB7C7C" w:rsidP="00FB7C7C">
      <w:pPr>
        <w:jc w:val="both"/>
      </w:pPr>
      <w:r>
        <w:t>Prevádzka Čpavok 4</w:t>
      </w:r>
      <w:r w:rsidRPr="00FB7C7C">
        <w:t xml:space="preserve"> sa skladá z viacerých technologických celkov,</w:t>
      </w:r>
      <w:r>
        <w:t xml:space="preserve"> medzi</w:t>
      </w:r>
      <w:r w:rsidRPr="00FB7C7C">
        <w:t xml:space="preserve"> základné </w:t>
      </w:r>
      <w:r>
        <w:t xml:space="preserve">patrí: </w:t>
      </w:r>
      <w:r w:rsidRPr="00FB7C7C">
        <w:t xml:space="preserve"> príprav</w:t>
      </w:r>
      <w:r>
        <w:t>a</w:t>
      </w:r>
      <w:r w:rsidRPr="00FB7C7C">
        <w:t xml:space="preserve"> syntézneho plynu, syntéz</w:t>
      </w:r>
      <w:r>
        <w:t>a</w:t>
      </w:r>
      <w:r w:rsidRPr="00FB7C7C">
        <w:t xml:space="preserve"> amoniaku, kompresi</w:t>
      </w:r>
      <w:r>
        <w:t>a</w:t>
      </w:r>
      <w:r w:rsidRPr="00FB7C7C">
        <w:t xml:space="preserve"> plynov, spätné získavanie vodíka a čpavku a príprav</w:t>
      </w:r>
      <w:r>
        <w:t>a</w:t>
      </w:r>
      <w:r w:rsidRPr="00FB7C7C">
        <w:t xml:space="preserve"> napájacej vody a technologickej pary.</w:t>
      </w:r>
    </w:p>
    <w:p w:rsidR="00FB7C7C" w:rsidRPr="00FB7C7C" w:rsidRDefault="00FB7C7C" w:rsidP="00FB7C7C">
      <w:pPr>
        <w:jc w:val="both"/>
      </w:pPr>
      <w:r w:rsidRPr="00FB7C7C">
        <w:t xml:space="preserve">Celok prípravy syntézneho plynu pozostáva z technologických uzlov odsírenia zemného plynu, reformovania zemného plynu, konverzie oxidu uhoľnatého na oxid uhličitý, výpierky oxidu uhličitého a metanizácie. Zemný plyn po vstupe do prevádzky a kompresii prechádza cez uzol odsírenia za účelom odstránenia zlúčenín síry poškodzujúcich ďalej zaradené katalyzátory. Odsírený zemný plyn po zmiešaní s parou a následne vzduchom sa spracuje v primárnom a sekundárnom reformingu, kde za prítomnosti katalyzátorov vzniká surový syntézny plyn obsahujúci okrem základných zložiek pre syntézu čpavku (vodík a dusík) aj ďalšie vedľajšie produkty. Tieto sa odstraňujú v ďalej zaradených uzloch prípravy plynu. V uzle konverzie prebieha v dvoch stupňoch katalytická oxidácia oxidu uhoľnatého vodnou parou na oxid uhličitý za vzniku dodatočného množstva vodíka ako suroviny pre výrobu čpavku. Vzniknutý oxid uhličitý sa odstraňuje vypieraním v nasledujúcom uzle výpierky. Takto upravený syntézny plyn sa dočisťuje v uzle metanizácie z dôvodu ochrany syntézneho katalyzátora. </w:t>
      </w:r>
    </w:p>
    <w:p w:rsidR="00FB7C7C" w:rsidRPr="00FB7C7C" w:rsidRDefault="00FB7C7C" w:rsidP="00FB7C7C">
      <w:pPr>
        <w:jc w:val="both"/>
      </w:pPr>
      <w:r w:rsidRPr="00FB7C7C">
        <w:t>Syntézny plyn sa následne musí stlačiť na tlak potrebný k priebehu syntézy čpavku v uzle syntézy. Komprimovať na vyšší tlak je potrebné aj ďalšie technologické médiá – procesný vzduch, zemný plyn a plynný čpavok pre účely chladenia v procese. Kompresory pre jednotlivé médiá majú rôzny počet stupňov a konštrukciu podľa vyžadovaných parametrov kompresie. Kompresor zemného plynu je poháňaný elektromotorom, pre ostatné kompresory sa používajú parné turbíny, ktoré tvoria jednu z hlavných častí parnej a energetickej bilancie procesu. Na pohon turbín sa využíva para, ktorá vzniká zo spracovania odpadového vysokopotenciálneho tepla v uzloch reformovania, konverzií a syntézy čpavku. Parné turbíny zároveň produkujú paru nižších tlakových a teplotných stupňov pre použitie v procese spracovania zemného plynu, na pohon ďalších turbín a iné aplikácie v technológii.</w:t>
      </w:r>
    </w:p>
    <w:p w:rsidR="00FB7C7C" w:rsidRPr="00FB7C7C" w:rsidRDefault="00FB7C7C" w:rsidP="00FB7C7C">
      <w:pPr>
        <w:jc w:val="both"/>
      </w:pPr>
      <w:r w:rsidRPr="00FB7C7C">
        <w:t>Samotná syntézna reakcia produkujúca čpavok prebieha v uzle syntézy, ktorý je tvorený dvojicou syntéznych reaktorov, sériou tepelných výmenníkov na využitie vznikajúceho tepla a kondenzáciu a odlúčenie vyrobeného čpavku. Výmenníky slúžia na výrobu vysokotlak</w:t>
      </w:r>
      <w:r w:rsidR="004F2B20">
        <w:t>ov</w:t>
      </w:r>
      <w:r w:rsidRPr="00FB7C7C">
        <w:t>ej pary a predohrev technologických médií. Syntézna reakcia prebieha v oboch reaktoroch za</w:t>
      </w:r>
      <w:r w:rsidR="00AA7E1A">
        <w:t> </w:t>
      </w:r>
      <w:r w:rsidRPr="00FB7C7C">
        <w:t xml:space="preserve">pomoci katalyzátora na báze železa. Súčasťou uzla syntézy sú aj jednotlivé zariadenia </w:t>
      </w:r>
      <w:r w:rsidRPr="00FB7C7C">
        <w:lastRenderedPageBreak/>
        <w:t>čpavkového chladenia, ktoré sa využíva na vyššie uvádzanú kondenzáciu vyrobeného čpavku v</w:t>
      </w:r>
      <w:r w:rsidR="004F2B20">
        <w:t> </w:t>
      </w:r>
      <w:r w:rsidRPr="00FB7C7C">
        <w:t>podchladzovačoch</w:t>
      </w:r>
      <w:r w:rsidR="004F2B20">
        <w:t>,</w:t>
      </w:r>
      <w:r w:rsidRPr="00FB7C7C">
        <w:t xml:space="preserve"> ako aj na spracovanie viacerých druhov odplynov obsahujúcich čpavok. Vyrobený a skondenzovaný čpavok sa po uvoľnení tlaku a odplynení odvádza do skladu čpavku </w:t>
      </w:r>
      <w:r w:rsidR="004F2B20">
        <w:t>a</w:t>
      </w:r>
      <w:r w:rsidRPr="00FB7C7C">
        <w:t xml:space="preserve"> aj na výrobu močoviny.</w:t>
      </w:r>
    </w:p>
    <w:p w:rsidR="00FB7C7C" w:rsidRPr="00FB7C7C" w:rsidRDefault="00FB7C7C" w:rsidP="00FB7C7C">
      <w:pPr>
        <w:jc w:val="both"/>
      </w:pPr>
      <w:r w:rsidRPr="00FB7C7C">
        <w:t>Dôležitým uzlom prevádzky sú aj zariadenia na spätné získavanie čpavku a vodíka z rôznych druhov odplynov vznikajúcich v uzle syntézy čpavku. Odplyny sa po predchádzajúcom vymrazení čpavku vyperú vo vypieracích kolónach s následným spracovaním čpavkovej vody na kvapalný čpavok ako výrob</w:t>
      </w:r>
      <w:r w:rsidR="004F2B20">
        <w:t>o</w:t>
      </w:r>
      <w:r w:rsidRPr="00FB7C7C">
        <w:t>k. Odplyny sú surovinou aj pre spätné získavanie vodíka v separačnom zariadení HRU. Vodík sa potom vracia do technológie ako dodatková surovina na výrobu čpavku.</w:t>
      </w:r>
    </w:p>
    <w:p w:rsidR="00FB7C7C" w:rsidRPr="00FB7C7C" w:rsidRDefault="00FB7C7C" w:rsidP="00FB7C7C">
      <w:pPr>
        <w:jc w:val="both"/>
      </w:pPr>
      <w:r w:rsidRPr="00FB7C7C">
        <w:t>Poslednou základnou súčasťou technológie je príprava napájacej vody pre kotlový systém za</w:t>
      </w:r>
      <w:r w:rsidR="00AA7E1A">
        <w:t> </w:t>
      </w:r>
      <w:r w:rsidRPr="00FB7C7C">
        <w:t>účelom výroby technologickej pary. Pre výrobu napájacej vody sa okrem čerstvej demineralizovanej vody v prevažnej miere používajú recyklované kondenzáty z parných turbín a procesu prípravy syntézneho plynu. Tým sa znižuje spotreba vstupnej suroviny ako aj produkcia odpadových vôd.</w:t>
      </w:r>
    </w:p>
    <w:p w:rsidR="006F74F4" w:rsidRPr="00FB7C7C" w:rsidRDefault="006F74F4" w:rsidP="00C745DD">
      <w:pPr>
        <w:jc w:val="both"/>
      </w:pPr>
    </w:p>
    <w:p w:rsidR="006F74F4" w:rsidRPr="0045071E" w:rsidRDefault="006F74F4" w:rsidP="006F74F4">
      <w:pPr>
        <w:rPr>
          <w:i/>
        </w:rPr>
      </w:pPr>
    </w:p>
    <w:p w:rsidR="00D233F9" w:rsidRPr="004F2B20" w:rsidRDefault="00D233F9" w:rsidP="006F74F4">
      <w:pPr>
        <w:rPr>
          <w:i/>
          <w:u w:val="single"/>
        </w:rPr>
      </w:pPr>
      <w:r w:rsidRPr="004F2B20">
        <w:rPr>
          <w:i/>
          <w:u w:val="single"/>
        </w:rPr>
        <w:t>Vplyv na životné prostredie:</w:t>
      </w:r>
    </w:p>
    <w:p w:rsidR="00B301E6" w:rsidRDefault="00B301E6" w:rsidP="00B301E6">
      <w:pPr>
        <w:jc w:val="both"/>
      </w:pPr>
      <w:r>
        <w:t xml:space="preserve">Navrhnutá technológia výroby čpavku je najlepšou dostupnou technikou. Uvedená technológia a navrhnuté strojnotechnologické zariadenia svojím riešením a technologickým vybavením poskytnú optimálne podmienky pre ich chod, pre ich riadenie a kontrolu a zároveň budú minimalizovať nepriaznivé dopady na životné prostredie. </w:t>
      </w:r>
    </w:p>
    <w:p w:rsidR="005A0A1C" w:rsidRPr="0045071E" w:rsidRDefault="005A0A1C" w:rsidP="006F74F4">
      <w:pPr>
        <w:pStyle w:val="Zkladntext2"/>
        <w:spacing w:after="0" w:line="240" w:lineRule="auto"/>
        <w:rPr>
          <w:rFonts w:ascii="Times New Roman" w:hAnsi="Times New Roman"/>
          <w:color w:val="000000"/>
          <w:szCs w:val="24"/>
          <w:u w:val="single"/>
        </w:rPr>
      </w:pPr>
    </w:p>
    <w:p w:rsidR="00D233F9" w:rsidRPr="0045071E" w:rsidRDefault="00D233F9" w:rsidP="006F74F4">
      <w:pPr>
        <w:pStyle w:val="Zkladntext2"/>
        <w:spacing w:after="0" w:line="240" w:lineRule="auto"/>
        <w:rPr>
          <w:rFonts w:ascii="Times New Roman" w:hAnsi="Times New Roman"/>
          <w:color w:val="000000"/>
          <w:szCs w:val="24"/>
          <w:u w:val="single"/>
        </w:rPr>
      </w:pPr>
      <w:r w:rsidRPr="0045071E">
        <w:rPr>
          <w:rFonts w:ascii="Times New Roman" w:hAnsi="Times New Roman"/>
          <w:color w:val="000000"/>
          <w:szCs w:val="24"/>
          <w:u w:val="single"/>
        </w:rPr>
        <w:t>Ovzdušie:</w:t>
      </w:r>
    </w:p>
    <w:p w:rsidR="00B301E6" w:rsidRDefault="00B301E6" w:rsidP="00B301E6">
      <w:pPr>
        <w:jc w:val="both"/>
      </w:pPr>
      <w:r>
        <w:t>Spaliny z komína primárneho reforméra sú hlavným zdrojom emisií v prevádzke Čpavok 4. NO</w:t>
      </w:r>
      <w:r>
        <w:rPr>
          <w:vertAlign w:val="subscript"/>
        </w:rPr>
        <w:t>x</w:t>
      </w:r>
      <w:r>
        <w:t xml:space="preserve"> tvoria časť týchto emisií a budú minimalizované nasledovne:</w:t>
      </w:r>
    </w:p>
    <w:p w:rsidR="00B301E6" w:rsidRPr="00B301E6" w:rsidRDefault="00B301E6" w:rsidP="000B2331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1E6">
        <w:rPr>
          <w:rFonts w:ascii="Times New Roman" w:hAnsi="Times New Roman" w:cs="Times New Roman"/>
          <w:sz w:val="24"/>
          <w:szCs w:val="24"/>
        </w:rPr>
        <w:t>Znížením potreby paliva pre primárny reformér zlepšením energetickej účinnosti implementáciou technológií znižujúcich celkovú spotrebu energie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301E6">
        <w:rPr>
          <w:rFonts w:ascii="Times New Roman" w:hAnsi="Times New Roman" w:cs="Times New Roman"/>
          <w:sz w:val="24"/>
          <w:szCs w:val="24"/>
        </w:rPr>
        <w:t>prevádzke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01E6">
        <w:rPr>
          <w:rFonts w:ascii="Times New Roman" w:hAnsi="Times New Roman" w:cs="Times New Roman"/>
          <w:sz w:val="24"/>
          <w:szCs w:val="24"/>
        </w:rPr>
        <w:t xml:space="preserve"> ktoré znížia celkové množstvo spalín a tým aj celkovú produkciu NO</w:t>
      </w:r>
      <w:r w:rsidRPr="00B301E6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B301E6">
        <w:rPr>
          <w:rFonts w:ascii="Times New Roman" w:hAnsi="Times New Roman" w:cs="Times New Roman"/>
          <w:sz w:val="24"/>
          <w:szCs w:val="24"/>
        </w:rPr>
        <w:t>.</w:t>
      </w:r>
    </w:p>
    <w:p w:rsidR="00B301E6" w:rsidRPr="00B301E6" w:rsidRDefault="00B301E6" w:rsidP="000B2331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1E6">
        <w:rPr>
          <w:rFonts w:ascii="Times New Roman" w:hAnsi="Times New Roman" w:cs="Times New Roman"/>
          <w:sz w:val="24"/>
          <w:szCs w:val="24"/>
        </w:rPr>
        <w:t>Optimalizáciou spaľovania – využitím minimálneho množstva prebytočného spaľovacieho vzduchu v primárnom reforméri a inštaláciou vylepšenej konštrukcie horákov s nízkou úrovňou NO</w:t>
      </w:r>
      <w:r w:rsidRPr="00B301E6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B301E6">
        <w:rPr>
          <w:rFonts w:ascii="Times New Roman" w:hAnsi="Times New Roman" w:cs="Times New Roman"/>
          <w:sz w:val="24"/>
          <w:szCs w:val="24"/>
        </w:rPr>
        <w:t>.</w:t>
      </w:r>
    </w:p>
    <w:p w:rsidR="00B301E6" w:rsidRPr="00B301E6" w:rsidRDefault="00B301E6" w:rsidP="000B2331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1E6">
        <w:rPr>
          <w:rFonts w:ascii="Times New Roman" w:hAnsi="Times New Roman" w:cs="Times New Roman"/>
          <w:sz w:val="24"/>
          <w:szCs w:val="24"/>
        </w:rPr>
        <w:t>Inštaláciou SNCR (selektívnej nekatalytickej redukcie) v dymovom ťahu primárneho reforméra za účelom redukcie oxidov dusíka v spalinách zo spaľovacej jednotky. Inštalovaná SNCR je založená na nástreku čpavku do dymového ťahu primárneho reformingu s následnou reakciou s NO</w:t>
      </w:r>
      <w:r w:rsidRPr="00B301E6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B301E6">
        <w:rPr>
          <w:rFonts w:ascii="Times New Roman" w:hAnsi="Times New Roman" w:cs="Times New Roman"/>
          <w:sz w:val="24"/>
          <w:szCs w:val="24"/>
        </w:rPr>
        <w:t>, pričom vzniká voda a dusí podľa nasledovnej chemickej reakcie:</w:t>
      </w:r>
    </w:p>
    <w:p w:rsidR="00B301E6" w:rsidRPr="00B301E6" w:rsidRDefault="00B301E6" w:rsidP="000B2331">
      <w:pPr>
        <w:ind w:left="3240"/>
        <w:jc w:val="both"/>
      </w:pPr>
      <w:r w:rsidRPr="00B301E6">
        <w:t>4NH</w:t>
      </w:r>
      <w:r w:rsidRPr="000B2331">
        <w:rPr>
          <w:vertAlign w:val="subscript"/>
        </w:rPr>
        <w:t>3</w:t>
      </w:r>
      <w:r w:rsidRPr="00B301E6">
        <w:t xml:space="preserve"> + 4NO + O</w:t>
      </w:r>
      <w:r w:rsidRPr="000B2331">
        <w:rPr>
          <w:vertAlign w:val="subscript"/>
        </w:rPr>
        <w:t>2</w:t>
      </w:r>
      <w:r w:rsidRPr="00B301E6">
        <w:t xml:space="preserve"> → 4N</w:t>
      </w:r>
      <w:r w:rsidRPr="000B2331">
        <w:rPr>
          <w:vertAlign w:val="subscript"/>
        </w:rPr>
        <w:t>2</w:t>
      </w:r>
      <w:r w:rsidRPr="00B301E6">
        <w:t xml:space="preserve"> + 6H</w:t>
      </w:r>
      <w:r w:rsidRPr="000B2331">
        <w:rPr>
          <w:vertAlign w:val="subscript"/>
        </w:rPr>
        <w:t>2</w:t>
      </w:r>
      <w:r w:rsidRPr="00B301E6">
        <w:t xml:space="preserve">O </w:t>
      </w:r>
    </w:p>
    <w:p w:rsidR="00B301E6" w:rsidRPr="00B301E6" w:rsidRDefault="00B301E6" w:rsidP="000B2331">
      <w:pPr>
        <w:pStyle w:val="Odsekzoznamu"/>
        <w:numPr>
          <w:ilvl w:val="0"/>
          <w:numId w:val="1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1E6">
        <w:rPr>
          <w:rFonts w:ascii="Times New Roman" w:hAnsi="Times New Roman" w:cs="Times New Roman"/>
          <w:sz w:val="24"/>
          <w:szCs w:val="24"/>
        </w:rPr>
        <w:t>Inštalovaný bude aj systém priebežného monitorovania emisií v súlade s európskymi pravidlami pre zabezpečenie trvalej kontroly kvality odpadov s ohľadom na NO</w:t>
      </w:r>
      <w:r w:rsidRPr="00B301E6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B301E6">
        <w:rPr>
          <w:rFonts w:ascii="Times New Roman" w:hAnsi="Times New Roman" w:cs="Times New Roman"/>
          <w:sz w:val="24"/>
          <w:szCs w:val="24"/>
        </w:rPr>
        <w:t>, CO, SO</w:t>
      </w:r>
      <w:r w:rsidRPr="00B301E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301E6">
        <w:rPr>
          <w:rFonts w:ascii="Times New Roman" w:hAnsi="Times New Roman" w:cs="Times New Roman"/>
          <w:sz w:val="24"/>
          <w:szCs w:val="24"/>
        </w:rPr>
        <w:t xml:space="preserve"> a prach.</w:t>
      </w:r>
    </w:p>
    <w:p w:rsidR="00B301E6" w:rsidRDefault="00B301E6" w:rsidP="00B301E6">
      <w:pPr>
        <w:jc w:val="both"/>
      </w:pPr>
    </w:p>
    <w:p w:rsidR="00B301E6" w:rsidRPr="007D18D9" w:rsidRDefault="00B301E6" w:rsidP="00B301E6">
      <w:pPr>
        <w:jc w:val="both"/>
      </w:pPr>
      <w:r w:rsidRPr="007D18D9">
        <w:t>Na prevádzke Čpavok 4 bude hladina emisií NO</w:t>
      </w:r>
      <w:r w:rsidRPr="007D18D9">
        <w:rPr>
          <w:vertAlign w:val="subscript"/>
        </w:rPr>
        <w:t>x</w:t>
      </w:r>
      <w:r w:rsidRPr="007D18D9">
        <w:t xml:space="preserve"> garantovaná max. 95 mg/Nm</w:t>
      </w:r>
      <w:r w:rsidRPr="007D18D9">
        <w:rPr>
          <w:vertAlign w:val="superscript"/>
        </w:rPr>
        <w:t>3</w:t>
      </w:r>
      <w:r w:rsidRPr="007D18D9">
        <w:t>, čo je dolná hranica rozsahu podľa BAT. Avšak hodnoty NO</w:t>
      </w:r>
      <w:r w:rsidRPr="007D18D9">
        <w:rPr>
          <w:vertAlign w:val="subscript"/>
        </w:rPr>
        <w:t>x</w:t>
      </w:r>
      <w:r w:rsidRPr="007D18D9">
        <w:t xml:space="preserve"> v spalinách sú predpokladané nižšie, cca 90</w:t>
      </w:r>
      <w:r w:rsidR="00AA7E1A">
        <w:t> </w:t>
      </w:r>
      <w:r w:rsidRPr="007D18D9">
        <w:t>mg/Nm</w:t>
      </w:r>
      <w:r w:rsidRPr="007D18D9">
        <w:rPr>
          <w:vertAlign w:val="superscript"/>
        </w:rPr>
        <w:t>3</w:t>
      </w:r>
      <w:r w:rsidRPr="007D18D9">
        <w:t xml:space="preserve">.  </w:t>
      </w:r>
    </w:p>
    <w:p w:rsidR="00B301E6" w:rsidRDefault="00B301E6" w:rsidP="00B301E6">
      <w:pPr>
        <w:jc w:val="both"/>
      </w:pPr>
      <w:r>
        <w:t xml:space="preserve">Predpokladané celkové množstvo znečisťujúcich látok, ktoré budú vypúšťané do ovzdušia bude 306,84 t/rok. Na jednu tonu vyrobeného čpavku pripadne cca 0,525 kg znečisťujúcich látok. </w:t>
      </w:r>
    </w:p>
    <w:p w:rsidR="00B301E6" w:rsidRDefault="00B301E6" w:rsidP="00B301E6">
      <w:pPr>
        <w:jc w:val="both"/>
      </w:pPr>
    </w:p>
    <w:p w:rsidR="00B301E6" w:rsidRDefault="00B301E6" w:rsidP="00B301E6">
      <w:pPr>
        <w:jc w:val="both"/>
      </w:pPr>
      <w:r>
        <w:lastRenderedPageBreak/>
        <w:t>Vypočítané výšky komínov a poľných horákov budú zabezpečovať dostatočný rozptyl emisií znečisťujúcich látok vo vonkajšom ovzduší v súlade s legislatívnymi požiadavkami na ochranu ovzdušia, ktoré sú určené v prílohe č. 9 k vykonávacej vyhláške o ovzduší:</w:t>
      </w:r>
    </w:p>
    <w:p w:rsidR="00B301E6" w:rsidRPr="00B301E6" w:rsidRDefault="00B301E6" w:rsidP="00B301E6">
      <w:pPr>
        <w:pStyle w:val="Odsekzoznamu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1E6">
        <w:rPr>
          <w:rFonts w:ascii="Times New Roman" w:hAnsi="Times New Roman" w:cs="Times New Roman"/>
          <w:sz w:val="24"/>
          <w:szCs w:val="24"/>
        </w:rPr>
        <w:t>navrhovaný spôsob odvádzania emisií zo stacionárnych zdrojov nebude spôsobovať významné znečistenie ovzdušia</w:t>
      </w:r>
    </w:p>
    <w:p w:rsidR="00B301E6" w:rsidRPr="00B301E6" w:rsidRDefault="00B301E6" w:rsidP="00B301E6">
      <w:pPr>
        <w:pStyle w:val="Odsekzoznamu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1E6">
        <w:rPr>
          <w:rFonts w:ascii="Times New Roman" w:hAnsi="Times New Roman" w:cs="Times New Roman"/>
          <w:sz w:val="24"/>
          <w:szCs w:val="24"/>
        </w:rPr>
        <w:t>výšky komínov budú vyššie ako 4 m nad úrovňou terénu</w:t>
      </w:r>
    </w:p>
    <w:p w:rsidR="00B301E6" w:rsidRDefault="00B301E6" w:rsidP="00B301E6">
      <w:pPr>
        <w:jc w:val="both"/>
      </w:pPr>
      <w:r>
        <w:t>Priaznivé orografické pomery (rovinatý charakter terénu) aj klimatické podmienky budú prispievať k dotváraniu vhodných podmienok na dostatočný rozptyl emisií znečisťujúcich látok. Súčasťou komína bude odberové miesto na meranie koncentrácie škodlivín vo</w:t>
      </w:r>
      <w:r w:rsidR="00AA7E1A">
        <w:t> </w:t>
      </w:r>
      <w:r>
        <w:t xml:space="preserve">vypúšťanom odpadovom plyne. Výsledky emisných hodnôt spaľovacích zariadení budú ovplyvňované predovšetkým technickým stavom konkrétneho zariadenia a režimom jeho prevádzky. Konštrukčné riešenie spaľovacích zariadení umožňuje nastaviť taký režim ich prevádzky, ktorý je z hľadiska nárokov na ochranu ovzdušia prijateľný. </w:t>
      </w:r>
    </w:p>
    <w:p w:rsidR="00B301E6" w:rsidRDefault="00B301E6" w:rsidP="00B301E6">
      <w:pPr>
        <w:jc w:val="both"/>
      </w:pPr>
    </w:p>
    <w:p w:rsidR="00B301E6" w:rsidRDefault="00B301E6" w:rsidP="00B301E6">
      <w:pPr>
        <w:jc w:val="both"/>
      </w:pPr>
      <w:r>
        <w:t>Referenčná úroveň produktu (tzv. benchmark) určuje množstvo skleníkových plynov, ktoré budú emitované pri výrobe jednej jednotky produktu. V prílohe k Smernici č. 2009/29/ES z 23. apríla 2009, ktorou sa mení a dopĺňa Smernica č. 2003/87/ES s cieľom zlepšiť a rozšíriť schému Spoločenstva na obchodovanie s emisnými kvótami skleníkových plynov, je hodnota referenčnej úrovne čpavku stanovená na 1,619 ton oxidu uhličitého. Prevádzka Čpavok 4 bude spĺňať toto kritérium, pretože produktová referenčná úroveň pre čpavok bude nižšia; pri výrobe jednej tony čpavku sa vyprodukuje menej ako 1,6 ton oxidu uhličitého.</w:t>
      </w:r>
    </w:p>
    <w:p w:rsidR="00B301E6" w:rsidRDefault="00B301E6" w:rsidP="00B301E6">
      <w:pPr>
        <w:jc w:val="both"/>
      </w:pPr>
      <w:r>
        <w:t xml:space="preserve">Hoci sa navrhovaným spôsobom výroby produkcia čpavku zvýši, množstvo znečisťujúcich látok obsiahnutých v odpadových plynoch vypúšťaných do ovzdušia, ako aj množstvo odpadových vôd a ich znečistenie sa zníži. Napriek tomu, že v rámci novej prevádzky vzniknú nové zdroje znečisťovania ovzdušia, je na základe navrhovaných opatrení (uvedených vyššie v tomto bode) možné hodnotiť uvádzané technologické a spaľovacie zariadenia ako zariadenia, ktoré spĺňajú požiadavku najlepšieho, praxou overeného riešenia pri ochrane ovzdušia podľa súčasného stavu techniky, čo je v súlade s požiadavkami stanovenými v § 14 ods. 1 zákona o ovzduší. Navrhované riešenie vyhovuje legislatívnym požiadavkám na ochranu ovzdušia. Nová prevádzka Čpavok 4 nespôsobí zníženie kvality okolitého ovzdušia, čo je v plnom súlade s ustanoveniami zákona o ovzduší, ktorého zmyslom podľa § 5 ods. 1 je zlepšiť kvalitu ovzdušia.   </w:t>
      </w:r>
    </w:p>
    <w:p w:rsidR="00236EB7" w:rsidRPr="0045071E" w:rsidRDefault="00236EB7" w:rsidP="006F74F4">
      <w:pPr>
        <w:pStyle w:val="Zkladntext2"/>
        <w:spacing w:after="0" w:line="240" w:lineRule="auto"/>
        <w:rPr>
          <w:rFonts w:ascii="Times New Roman" w:hAnsi="Times New Roman"/>
          <w:szCs w:val="24"/>
        </w:rPr>
      </w:pPr>
    </w:p>
    <w:p w:rsidR="00D233F9" w:rsidRPr="0045071E" w:rsidRDefault="00D233F9" w:rsidP="006F74F4">
      <w:pPr>
        <w:pStyle w:val="Zkladntext2"/>
        <w:spacing w:after="0" w:line="240" w:lineRule="auto"/>
        <w:rPr>
          <w:rFonts w:ascii="Times New Roman" w:hAnsi="Times New Roman"/>
          <w:color w:val="000000"/>
          <w:szCs w:val="24"/>
          <w:u w:val="single"/>
        </w:rPr>
      </w:pPr>
      <w:r w:rsidRPr="0045071E">
        <w:rPr>
          <w:rFonts w:ascii="Times New Roman" w:hAnsi="Times New Roman"/>
          <w:color w:val="000000"/>
          <w:szCs w:val="24"/>
          <w:u w:val="single"/>
        </w:rPr>
        <w:t>Vody:</w:t>
      </w:r>
    </w:p>
    <w:p w:rsidR="00B301E6" w:rsidRDefault="00B301E6" w:rsidP="00B301E6">
      <w:pPr>
        <w:jc w:val="both"/>
      </w:pPr>
      <w:r>
        <w:t xml:space="preserve">Technologické a strojné zariadenia prevádzky Čpavok 4 budú uložené na oceľových konštrukciách v otvorených, neopláštených a nezastrešených objektoch, t.j. vo vonkajšom prostredí. </w:t>
      </w:r>
    </w:p>
    <w:p w:rsidR="00B301E6" w:rsidRDefault="00B301E6" w:rsidP="00B301E6">
      <w:pPr>
        <w:jc w:val="both"/>
      </w:pPr>
      <w:r>
        <w:t xml:space="preserve">Kompresory budú uložené na železobetónovej doske v samostatnom opláštenom a zastrešenom objekte. Nepriepustné plochy, na ktorých budú umiestnené, budú vybavené chemicky a mechanicky odolným povrchom s povrchovou úpravou, čím budú jednak odolné voči pôsobeniu príslušných škodlivých látok a zároveň zabránia ich prieniku do podložia a podzemných vôd. </w:t>
      </w:r>
    </w:p>
    <w:p w:rsidR="00B301E6" w:rsidRDefault="00B301E6" w:rsidP="00B301E6">
      <w:pPr>
        <w:jc w:val="both"/>
      </w:pPr>
      <w:r>
        <w:t>Plochy, na ktorých by mohlo dôjsť k znečisteniu dažďových vôd chemikáliami a/alebo olejmi</w:t>
      </w:r>
      <w:r w:rsidR="00E53751">
        <w:t xml:space="preserve"> (plochy pod technologickým zariadením 030-P-701A/B, 101-P-301A,B,C; olejovým hospodárstvom sekcie 400 a celou sekciou 300) </w:t>
      </w:r>
      <w:r>
        <w:t>budú ohraničené betónovými obrubníkmi, ktoré budú plniť úlohu havarijnej nádrže.</w:t>
      </w:r>
    </w:p>
    <w:p w:rsidR="00B301E6" w:rsidRDefault="00B301E6" w:rsidP="00B301E6">
      <w:pPr>
        <w:jc w:val="both"/>
      </w:pPr>
    </w:p>
    <w:p w:rsidR="00B301E6" w:rsidRDefault="00B301E6" w:rsidP="00B301E6">
      <w:pPr>
        <w:jc w:val="both"/>
      </w:pPr>
      <w:r>
        <w:t>Pre odpadové vody z výrobnej jednotky Čpavok 4 je navrhnutá chemická kanalizácia, pre</w:t>
      </w:r>
      <w:r w:rsidR="00AA7E1A">
        <w:t> </w:t>
      </w:r>
      <w:r>
        <w:t>dažďové vody dažďová kanalizácia a pre splaškové odpadové vody splašková kanalizácia.</w:t>
      </w:r>
    </w:p>
    <w:p w:rsidR="00B301E6" w:rsidRDefault="00B301E6" w:rsidP="00B301E6">
      <w:pPr>
        <w:jc w:val="both"/>
      </w:pPr>
      <w:r>
        <w:lastRenderedPageBreak/>
        <w:t>Chemická kanalizácia bude po celej výrobnej jednotke a bude slúžiť na riadené prečerpávanie potenciálne kontaminovaných dažďových vôd z </w:t>
      </w:r>
      <w:r w:rsidRPr="007D18D9">
        <w:t>ohraničených plôch</w:t>
      </w:r>
      <w:r>
        <w:t>, oplachových vôd sekcie 500 počas plánovaných odstávok a kondenzátu z odlučovačov (odlučovač poľného horáka, odlučovače na trasách odplynov zo sekcie 300 a</w:t>
      </w:r>
      <w:r w:rsidR="007D18D9">
        <w:t> </w:t>
      </w:r>
      <w:r>
        <w:t>HRU</w:t>
      </w:r>
      <w:r w:rsidR="007D18D9">
        <w:t xml:space="preserve"> – spätného získavania vodíka</w:t>
      </w:r>
      <w:r>
        <w:t>) do</w:t>
      </w:r>
      <w:r w:rsidR="00AA7E1A">
        <w:t> </w:t>
      </w:r>
      <w:r>
        <w:t xml:space="preserve">vnútropodnikovej  chemickej kanalizácie privedenej na MB ČOV. </w:t>
      </w:r>
    </w:p>
    <w:p w:rsidR="00B301E6" w:rsidRDefault="00B301E6" w:rsidP="00B301E6">
      <w:pPr>
        <w:jc w:val="both"/>
      </w:pPr>
      <w:r>
        <w:t>Časť zahrňujúca ohraničenú plochu pre čerpadlá 030-P-701A,B a olejové hospodárstvo pre</w:t>
      </w:r>
      <w:r w:rsidR="00AA7E1A">
        <w:t> </w:t>
      </w:r>
      <w:r>
        <w:t>kompresory a turbíny v blízkosti 010-SHT-400 bude zaústená do podzemnej záchytnej nádrže o objeme 35 m</w:t>
      </w:r>
      <w:r>
        <w:rPr>
          <w:vertAlign w:val="superscript"/>
        </w:rPr>
        <w:t>3</w:t>
      </w:r>
      <w:r>
        <w:t>. Po analytickej kontrole miery znečistenia vody bude táto prečerpaná do chemickej kanalizácie prevádzky. Do chemickej kanalizácie prevádzky bude po analýze riadene prečerpávaná aj voda zo sekcie 300 (z 010-HT-303 a ohraničenej plochy čerpadiel 010-P-301A,B). Oplachová voda zo sekcie 500 sa predpokladá len počas plánovanej odstávky prevádzky, každé 3 roky. Chemická kanalizácia prevádzky bude ústiť do pozemnej nádrže – zbernej šachty, v juhovýchodnej časti výrobnej jednotky, z ktorej bude prečerpávaná cez</w:t>
      </w:r>
      <w:r w:rsidR="00AA7E1A">
        <w:t> </w:t>
      </w:r>
      <w:r>
        <w:t>nadzemný potrubný most do existujúcej vnútropodnikovej chemickej kanalizácie.</w:t>
      </w:r>
    </w:p>
    <w:p w:rsidR="00B301E6" w:rsidRDefault="00B301E6" w:rsidP="00B301E6">
      <w:pPr>
        <w:jc w:val="both"/>
      </w:pPr>
      <w:r>
        <w:t xml:space="preserve">Odvádzanie dažďových vôd z plochy výrobnej jednotky je riešené povrchovým odtokom vôd do otvorených žľabov s mriežkou. </w:t>
      </w:r>
    </w:p>
    <w:p w:rsidR="005A0A1C" w:rsidRPr="0045071E" w:rsidRDefault="005A0A1C" w:rsidP="006F74F4">
      <w:pPr>
        <w:rPr>
          <w:u w:val="single"/>
        </w:rPr>
      </w:pPr>
    </w:p>
    <w:p w:rsidR="00414075" w:rsidRDefault="00414075" w:rsidP="006F74F4">
      <w:pPr>
        <w:rPr>
          <w:u w:val="single"/>
        </w:rPr>
      </w:pPr>
      <w:r w:rsidRPr="0045071E">
        <w:rPr>
          <w:u w:val="single"/>
        </w:rPr>
        <w:t>Odpady:</w:t>
      </w:r>
    </w:p>
    <w:p w:rsidR="00967A5D" w:rsidRPr="0045071E" w:rsidRDefault="00967A5D" w:rsidP="006F74F4">
      <w:pPr>
        <w:rPr>
          <w:u w:val="single"/>
        </w:rPr>
      </w:pPr>
    </w:p>
    <w:p w:rsidR="005A0A1C" w:rsidRPr="0045071E" w:rsidRDefault="00B301E6" w:rsidP="006F74F4">
      <w:pPr>
        <w:rPr>
          <w:i/>
        </w:rPr>
      </w:pPr>
      <w:r>
        <w:rPr>
          <w:i/>
        </w:rPr>
        <w:t xml:space="preserve">1/ </w:t>
      </w:r>
      <w:r w:rsidR="005A0A1C" w:rsidRPr="0045071E">
        <w:rPr>
          <w:i/>
        </w:rPr>
        <w:t>Pri realizácii stavby vzniknú jednorázovo nasledovné odpady:</w:t>
      </w:r>
    </w:p>
    <w:p w:rsidR="00B301E6" w:rsidRDefault="00B301E6" w:rsidP="00B301E6">
      <w:pPr>
        <w:jc w:val="both"/>
      </w:pPr>
    </w:p>
    <w:p w:rsidR="00B301E6" w:rsidRPr="00A35CC6" w:rsidRDefault="00B301E6" w:rsidP="00B301E6">
      <w:pPr>
        <w:jc w:val="both"/>
      </w:pPr>
      <w:r>
        <w:t>Tuhé odpady:</w:t>
      </w: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1134"/>
        <w:gridCol w:w="1418"/>
        <w:gridCol w:w="1209"/>
      </w:tblGrid>
      <w:tr w:rsidR="00B301E6" w:rsidRPr="00A35CC6" w:rsidTr="00B301E6">
        <w:trPr>
          <w:tblHeader/>
        </w:trPr>
        <w:tc>
          <w:tcPr>
            <w:tcW w:w="127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bCs/>
                <w:sz w:val="20"/>
              </w:rPr>
            </w:pPr>
            <w:r w:rsidRPr="00A35CC6">
              <w:rPr>
                <w:rFonts w:cs="Arial"/>
                <w:bCs/>
                <w:sz w:val="20"/>
              </w:rPr>
              <w:t>katalóg. č. odpadu</w:t>
            </w:r>
          </w:p>
        </w:tc>
        <w:tc>
          <w:tcPr>
            <w:tcW w:w="439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bCs/>
                <w:sz w:val="20"/>
              </w:rPr>
            </w:pPr>
            <w:r w:rsidRPr="00A35CC6">
              <w:rPr>
                <w:rFonts w:cs="Arial"/>
                <w:bCs/>
                <w:sz w:val="20"/>
              </w:rPr>
              <w:t>názov odpadu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bCs/>
                <w:sz w:val="20"/>
              </w:rPr>
            </w:pPr>
            <w:r w:rsidRPr="00A35CC6">
              <w:rPr>
                <w:rFonts w:cs="Arial"/>
                <w:bCs/>
                <w:sz w:val="20"/>
              </w:rPr>
              <w:t>kategória</w:t>
            </w: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bCs/>
                <w:sz w:val="20"/>
              </w:rPr>
            </w:pPr>
            <w:r w:rsidRPr="00A35CC6">
              <w:rPr>
                <w:rFonts w:cs="Arial"/>
                <w:bCs/>
                <w:sz w:val="20"/>
              </w:rPr>
              <w:t>odpadu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pStyle w:val="Normln"/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noProof w:val="0"/>
              </w:rPr>
            </w:pPr>
            <w:r w:rsidRPr="00A35CC6">
              <w:rPr>
                <w:rFonts w:ascii="Times New Roman" w:hAnsi="Times New Roman"/>
                <w:bCs/>
                <w:noProof w:val="0"/>
              </w:rPr>
              <w:t>predpokladané množstvo [ t ]</w:t>
            </w:r>
          </w:p>
        </w:tc>
        <w:tc>
          <w:tcPr>
            <w:tcW w:w="120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pStyle w:val="Normln"/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noProof w:val="0"/>
              </w:rPr>
            </w:pPr>
          </w:p>
          <w:p w:rsidR="00B301E6" w:rsidRPr="00A35CC6" w:rsidRDefault="00B301E6" w:rsidP="00B301E6">
            <w:pPr>
              <w:pStyle w:val="Normln"/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  <w:noProof w:val="0"/>
              </w:rPr>
            </w:pPr>
            <w:r w:rsidRPr="00A35CC6">
              <w:rPr>
                <w:rFonts w:ascii="Times New Roman" w:hAnsi="Times New Roman"/>
                <w:bCs/>
                <w:noProof w:val="0"/>
              </w:rPr>
              <w:t>kód nakladania</w:t>
            </w:r>
          </w:p>
          <w:p w:rsidR="00B301E6" w:rsidRPr="00A35CC6" w:rsidRDefault="00B301E6" w:rsidP="00B301E6">
            <w:pPr>
              <w:pStyle w:val="Normln"/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  <w:noProof w:val="0"/>
              </w:rPr>
            </w:pPr>
            <w:r w:rsidRPr="00A35CC6">
              <w:rPr>
                <w:rFonts w:ascii="Times New Roman" w:hAnsi="Times New Roman"/>
                <w:bCs/>
                <w:noProof w:val="0"/>
              </w:rPr>
              <w:t>s odpadom</w:t>
            </w:r>
          </w:p>
        </w:tc>
      </w:tr>
      <w:tr w:rsidR="00B301E6" w:rsidRPr="00A35CC6" w:rsidTr="00B301E6">
        <w:tc>
          <w:tcPr>
            <w:tcW w:w="1276" w:type="dxa"/>
            <w:tcBorders>
              <w:top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08 01 11</w:t>
            </w:r>
          </w:p>
        </w:tc>
        <w:tc>
          <w:tcPr>
            <w:tcW w:w="4394" w:type="dxa"/>
            <w:tcBorders>
              <w:top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odpadové farby a laky obsahujúce organické rozpúšťadlá alebo iné nebezpečné látky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N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2,00</w:t>
            </w:r>
          </w:p>
        </w:tc>
        <w:tc>
          <w:tcPr>
            <w:tcW w:w="1209" w:type="dxa"/>
            <w:tcBorders>
              <w:top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D10</w:t>
            </w:r>
          </w:p>
        </w:tc>
      </w:tr>
      <w:tr w:rsidR="00B301E6" w:rsidRPr="00A35CC6" w:rsidTr="00B301E6">
        <w:tc>
          <w:tcPr>
            <w:tcW w:w="1276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08 01 12</w:t>
            </w:r>
          </w:p>
        </w:tc>
        <w:tc>
          <w:tcPr>
            <w:tcW w:w="4394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odpadové farby a laky iné ako uvedené v 08 01 11</w:t>
            </w:r>
          </w:p>
        </w:tc>
        <w:tc>
          <w:tcPr>
            <w:tcW w:w="1134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O</w:t>
            </w:r>
          </w:p>
        </w:tc>
        <w:tc>
          <w:tcPr>
            <w:tcW w:w="1418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0,50</w:t>
            </w:r>
          </w:p>
        </w:tc>
        <w:tc>
          <w:tcPr>
            <w:tcW w:w="1209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D10</w:t>
            </w:r>
          </w:p>
        </w:tc>
      </w:tr>
      <w:tr w:rsidR="00B301E6" w:rsidRPr="00A35CC6" w:rsidTr="00B301E6">
        <w:tc>
          <w:tcPr>
            <w:tcW w:w="1276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15 01 01</w:t>
            </w:r>
          </w:p>
        </w:tc>
        <w:tc>
          <w:tcPr>
            <w:tcW w:w="4394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obaly z papiera a lepenky</w:t>
            </w:r>
          </w:p>
        </w:tc>
        <w:tc>
          <w:tcPr>
            <w:tcW w:w="1134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O</w:t>
            </w:r>
          </w:p>
        </w:tc>
        <w:tc>
          <w:tcPr>
            <w:tcW w:w="1418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10,00</w:t>
            </w:r>
          </w:p>
        </w:tc>
        <w:tc>
          <w:tcPr>
            <w:tcW w:w="1209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R</w:t>
            </w:r>
            <w:r w:rsidRPr="00A35CC6">
              <w:rPr>
                <w:sz w:val="20"/>
                <w:vertAlign w:val="subscript"/>
              </w:rPr>
              <w:t>c</w:t>
            </w:r>
          </w:p>
        </w:tc>
      </w:tr>
      <w:tr w:rsidR="00B301E6" w:rsidRPr="00A35CC6" w:rsidTr="00B301E6">
        <w:tc>
          <w:tcPr>
            <w:tcW w:w="1276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15 02 02</w:t>
            </w:r>
          </w:p>
        </w:tc>
        <w:tc>
          <w:tcPr>
            <w:tcW w:w="4394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absorbenty, filtračné materiály vrátane olejových filtrov inak nešpecifikovaných, handry na čistenie, ochranné odevy kontaminované nebezpečnými látkami</w:t>
            </w:r>
          </w:p>
        </w:tc>
        <w:tc>
          <w:tcPr>
            <w:tcW w:w="1134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N</w:t>
            </w:r>
          </w:p>
        </w:tc>
        <w:tc>
          <w:tcPr>
            <w:tcW w:w="1418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2,00</w:t>
            </w:r>
          </w:p>
        </w:tc>
        <w:tc>
          <w:tcPr>
            <w:tcW w:w="1209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D10</w:t>
            </w:r>
          </w:p>
        </w:tc>
      </w:tr>
      <w:tr w:rsidR="00B301E6" w:rsidRPr="00A35CC6" w:rsidTr="00B301E6">
        <w:tc>
          <w:tcPr>
            <w:tcW w:w="1276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16 02 13</w:t>
            </w:r>
          </w:p>
        </w:tc>
        <w:tc>
          <w:tcPr>
            <w:tcW w:w="4394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vyradené zariadenia obsahujúce nebezpečné časti, iné ako uvedené v 16 02 09 až 16 02 12</w:t>
            </w:r>
          </w:p>
        </w:tc>
        <w:tc>
          <w:tcPr>
            <w:tcW w:w="1134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N</w:t>
            </w:r>
          </w:p>
        </w:tc>
        <w:tc>
          <w:tcPr>
            <w:tcW w:w="1418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0,40</w:t>
            </w:r>
          </w:p>
        </w:tc>
        <w:tc>
          <w:tcPr>
            <w:tcW w:w="1209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S</w:t>
            </w:r>
          </w:p>
        </w:tc>
      </w:tr>
      <w:tr w:rsidR="00B301E6" w:rsidRPr="00A35CC6" w:rsidTr="00B301E6">
        <w:tc>
          <w:tcPr>
            <w:tcW w:w="1276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16 06 01</w:t>
            </w:r>
          </w:p>
        </w:tc>
        <w:tc>
          <w:tcPr>
            <w:tcW w:w="4394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olovené batérie</w:t>
            </w:r>
          </w:p>
        </w:tc>
        <w:tc>
          <w:tcPr>
            <w:tcW w:w="1134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N</w:t>
            </w:r>
          </w:p>
        </w:tc>
        <w:tc>
          <w:tcPr>
            <w:tcW w:w="1418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0,40</w:t>
            </w:r>
          </w:p>
        </w:tc>
        <w:tc>
          <w:tcPr>
            <w:tcW w:w="1209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S</w:t>
            </w:r>
          </w:p>
        </w:tc>
      </w:tr>
      <w:tr w:rsidR="00B301E6" w:rsidRPr="00A35CC6" w:rsidTr="00B301E6">
        <w:tc>
          <w:tcPr>
            <w:tcW w:w="1276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16 07 08</w:t>
            </w:r>
          </w:p>
        </w:tc>
        <w:tc>
          <w:tcPr>
            <w:tcW w:w="4394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odpady obsahujúce olej</w:t>
            </w:r>
          </w:p>
        </w:tc>
        <w:tc>
          <w:tcPr>
            <w:tcW w:w="1134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N</w:t>
            </w:r>
          </w:p>
        </w:tc>
        <w:tc>
          <w:tcPr>
            <w:tcW w:w="1418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10,00</w:t>
            </w:r>
          </w:p>
        </w:tc>
        <w:tc>
          <w:tcPr>
            <w:tcW w:w="1209" w:type="dxa"/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D10</w:t>
            </w:r>
          </w:p>
        </w:tc>
      </w:tr>
      <w:tr w:rsidR="00B301E6" w:rsidRPr="00A35CC6" w:rsidTr="00B301E6">
        <w:tc>
          <w:tcPr>
            <w:tcW w:w="1276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17 01 07</w:t>
            </w:r>
          </w:p>
        </w:tc>
        <w:tc>
          <w:tcPr>
            <w:tcW w:w="439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>zmesi betónu, tehál, obkladačiek, dlaždíc a keramiky iné ako uvedené v 17 01 06</w:t>
            </w:r>
          </w:p>
        </w:tc>
        <w:tc>
          <w:tcPr>
            <w:tcW w:w="113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O</w:t>
            </w:r>
          </w:p>
        </w:tc>
        <w:tc>
          <w:tcPr>
            <w:tcW w:w="1418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1 332,00</w:t>
            </w:r>
          </w:p>
        </w:tc>
        <w:tc>
          <w:tcPr>
            <w:tcW w:w="1209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D1</w:t>
            </w:r>
          </w:p>
        </w:tc>
      </w:tr>
      <w:tr w:rsidR="00B301E6" w:rsidRPr="00A35CC6" w:rsidTr="00B301E6">
        <w:tc>
          <w:tcPr>
            <w:tcW w:w="1276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17 02 01</w:t>
            </w:r>
          </w:p>
        </w:tc>
        <w:tc>
          <w:tcPr>
            <w:tcW w:w="439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>drevo</w:t>
            </w:r>
          </w:p>
        </w:tc>
        <w:tc>
          <w:tcPr>
            <w:tcW w:w="113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O</w:t>
            </w:r>
          </w:p>
        </w:tc>
        <w:tc>
          <w:tcPr>
            <w:tcW w:w="1418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207,00</w:t>
            </w:r>
          </w:p>
        </w:tc>
        <w:tc>
          <w:tcPr>
            <w:tcW w:w="1209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R1</w:t>
            </w:r>
          </w:p>
        </w:tc>
      </w:tr>
      <w:tr w:rsidR="00B301E6" w:rsidRPr="00A35CC6" w:rsidTr="00B301E6">
        <w:tc>
          <w:tcPr>
            <w:tcW w:w="1276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17 02 02</w:t>
            </w:r>
          </w:p>
        </w:tc>
        <w:tc>
          <w:tcPr>
            <w:tcW w:w="439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>sklo</w:t>
            </w:r>
          </w:p>
        </w:tc>
        <w:tc>
          <w:tcPr>
            <w:tcW w:w="113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O</w:t>
            </w:r>
          </w:p>
        </w:tc>
        <w:tc>
          <w:tcPr>
            <w:tcW w:w="1418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0,50</w:t>
            </w:r>
          </w:p>
        </w:tc>
        <w:tc>
          <w:tcPr>
            <w:tcW w:w="1209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R</w:t>
            </w:r>
            <w:r w:rsidRPr="00A35CC6">
              <w:rPr>
                <w:sz w:val="20"/>
                <w:vertAlign w:val="subscript"/>
              </w:rPr>
              <w:t>c</w:t>
            </w:r>
          </w:p>
        </w:tc>
      </w:tr>
      <w:tr w:rsidR="00B301E6" w:rsidRPr="00A35CC6" w:rsidTr="00B301E6">
        <w:tc>
          <w:tcPr>
            <w:tcW w:w="1276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17 02 03</w:t>
            </w:r>
          </w:p>
        </w:tc>
        <w:tc>
          <w:tcPr>
            <w:tcW w:w="439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>plasty</w:t>
            </w:r>
          </w:p>
        </w:tc>
        <w:tc>
          <w:tcPr>
            <w:tcW w:w="113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O</w:t>
            </w:r>
          </w:p>
        </w:tc>
        <w:tc>
          <w:tcPr>
            <w:tcW w:w="1418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13,00</w:t>
            </w:r>
          </w:p>
        </w:tc>
        <w:tc>
          <w:tcPr>
            <w:tcW w:w="1209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R</w:t>
            </w:r>
            <w:r w:rsidRPr="00A35CC6">
              <w:rPr>
                <w:sz w:val="20"/>
                <w:vertAlign w:val="subscript"/>
              </w:rPr>
              <w:t>c</w:t>
            </w:r>
          </w:p>
        </w:tc>
      </w:tr>
      <w:tr w:rsidR="00B301E6" w:rsidRPr="00A35CC6" w:rsidTr="00B301E6">
        <w:tc>
          <w:tcPr>
            <w:tcW w:w="1276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17 04 05</w:t>
            </w: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17 04 07</w:t>
            </w:r>
          </w:p>
        </w:tc>
        <w:tc>
          <w:tcPr>
            <w:tcW w:w="439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>železo a oceľ</w:t>
            </w: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>zmiešané kovy</w:t>
            </w:r>
          </w:p>
        </w:tc>
        <w:tc>
          <w:tcPr>
            <w:tcW w:w="1134" w:type="dxa"/>
          </w:tcPr>
          <w:p w:rsidR="00B301E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O</w:t>
            </w: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O</w:t>
            </w:r>
          </w:p>
        </w:tc>
        <w:tc>
          <w:tcPr>
            <w:tcW w:w="1418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135,00</w:t>
            </w:r>
          </w:p>
        </w:tc>
        <w:tc>
          <w:tcPr>
            <w:tcW w:w="1209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R4</w:t>
            </w:r>
          </w:p>
        </w:tc>
      </w:tr>
      <w:tr w:rsidR="00B301E6" w:rsidRPr="00A35CC6" w:rsidTr="00B301E6">
        <w:tc>
          <w:tcPr>
            <w:tcW w:w="1276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17 04 11</w:t>
            </w:r>
          </w:p>
        </w:tc>
        <w:tc>
          <w:tcPr>
            <w:tcW w:w="439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>káble iné ako uvedené v 17 04 10</w:t>
            </w:r>
          </w:p>
        </w:tc>
        <w:tc>
          <w:tcPr>
            <w:tcW w:w="113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O</w:t>
            </w:r>
          </w:p>
        </w:tc>
        <w:tc>
          <w:tcPr>
            <w:tcW w:w="1418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0,70</w:t>
            </w:r>
          </w:p>
        </w:tc>
        <w:tc>
          <w:tcPr>
            <w:tcW w:w="1209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R4</w:t>
            </w:r>
          </w:p>
        </w:tc>
      </w:tr>
      <w:tr w:rsidR="00B301E6" w:rsidRPr="00A35CC6" w:rsidTr="00B301E6">
        <w:tc>
          <w:tcPr>
            <w:tcW w:w="1276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 xml:space="preserve">17 05 03 </w:t>
            </w:r>
          </w:p>
        </w:tc>
        <w:tc>
          <w:tcPr>
            <w:tcW w:w="439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>zemina a kamenivo obsahujúce nebezpečné látky</w:t>
            </w:r>
          </w:p>
        </w:tc>
        <w:tc>
          <w:tcPr>
            <w:tcW w:w="113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N</w:t>
            </w:r>
          </w:p>
        </w:tc>
        <w:tc>
          <w:tcPr>
            <w:tcW w:w="1418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2,00</w:t>
            </w:r>
          </w:p>
        </w:tc>
        <w:tc>
          <w:tcPr>
            <w:tcW w:w="1209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D1</w:t>
            </w:r>
          </w:p>
        </w:tc>
      </w:tr>
      <w:tr w:rsidR="00B301E6" w:rsidRPr="00A35CC6" w:rsidTr="00B301E6">
        <w:tc>
          <w:tcPr>
            <w:tcW w:w="1276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17 05 04</w:t>
            </w:r>
          </w:p>
        </w:tc>
        <w:tc>
          <w:tcPr>
            <w:tcW w:w="439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>zemina a kamenivo iné ako je uvedené v  17 05 03</w:t>
            </w:r>
          </w:p>
        </w:tc>
        <w:tc>
          <w:tcPr>
            <w:tcW w:w="113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O</w:t>
            </w:r>
          </w:p>
        </w:tc>
        <w:tc>
          <w:tcPr>
            <w:tcW w:w="1418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2 857,00</w:t>
            </w:r>
          </w:p>
        </w:tc>
        <w:tc>
          <w:tcPr>
            <w:tcW w:w="1209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D1</w:t>
            </w:r>
          </w:p>
        </w:tc>
      </w:tr>
      <w:tr w:rsidR="00B301E6" w:rsidRPr="00A35CC6" w:rsidTr="00B301E6">
        <w:tc>
          <w:tcPr>
            <w:tcW w:w="1276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17 05 06</w:t>
            </w:r>
          </w:p>
        </w:tc>
        <w:tc>
          <w:tcPr>
            <w:tcW w:w="439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>výkopová zemina iná ako uvedená v 17 05 05</w:t>
            </w:r>
          </w:p>
        </w:tc>
        <w:tc>
          <w:tcPr>
            <w:tcW w:w="113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O</w:t>
            </w:r>
          </w:p>
        </w:tc>
        <w:tc>
          <w:tcPr>
            <w:tcW w:w="1418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10 000 m</w:t>
            </w:r>
            <w:r w:rsidRPr="00A35CC6">
              <w:rPr>
                <w:sz w:val="20"/>
                <w:vertAlign w:val="superscript"/>
              </w:rPr>
              <w:t>3</w:t>
            </w:r>
          </w:p>
        </w:tc>
        <w:tc>
          <w:tcPr>
            <w:tcW w:w="1209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P;</w:t>
            </w: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D1</w:t>
            </w:r>
          </w:p>
        </w:tc>
      </w:tr>
    </w:tbl>
    <w:p w:rsidR="000B2331" w:rsidRDefault="000B2331"/>
    <w:p w:rsidR="000B2331" w:rsidRDefault="000B2331"/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1134"/>
        <w:gridCol w:w="1418"/>
        <w:gridCol w:w="1209"/>
      </w:tblGrid>
      <w:tr w:rsidR="00B301E6" w:rsidRPr="00A35CC6" w:rsidTr="00B301E6">
        <w:tc>
          <w:tcPr>
            <w:tcW w:w="1276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lastRenderedPageBreak/>
              <w:t>17 06 04</w:t>
            </w:r>
          </w:p>
        </w:tc>
        <w:tc>
          <w:tcPr>
            <w:tcW w:w="439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>izolačné materiály iné ako uvedené v 17 06 01 a 17 06 03</w:t>
            </w:r>
          </w:p>
        </w:tc>
        <w:tc>
          <w:tcPr>
            <w:tcW w:w="113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O</w:t>
            </w:r>
          </w:p>
        </w:tc>
        <w:tc>
          <w:tcPr>
            <w:tcW w:w="1418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0,80</w:t>
            </w:r>
          </w:p>
        </w:tc>
        <w:tc>
          <w:tcPr>
            <w:tcW w:w="1209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D1</w:t>
            </w:r>
          </w:p>
        </w:tc>
      </w:tr>
      <w:tr w:rsidR="00B301E6" w:rsidRPr="00A35CC6" w:rsidTr="00B301E6">
        <w:tc>
          <w:tcPr>
            <w:tcW w:w="1276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17 09 03</w:t>
            </w:r>
          </w:p>
        </w:tc>
        <w:tc>
          <w:tcPr>
            <w:tcW w:w="439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>iné odpady zo stavieb a demolácií vrátane zmiešaných odpadov obsahujúce nebezpečné látky</w:t>
            </w:r>
          </w:p>
        </w:tc>
        <w:tc>
          <w:tcPr>
            <w:tcW w:w="113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N</w:t>
            </w:r>
          </w:p>
        </w:tc>
        <w:tc>
          <w:tcPr>
            <w:tcW w:w="1418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11,00</w:t>
            </w:r>
          </w:p>
        </w:tc>
        <w:tc>
          <w:tcPr>
            <w:tcW w:w="1209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D1</w:t>
            </w: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</w:tc>
      </w:tr>
      <w:tr w:rsidR="00B301E6" w:rsidRPr="00A35CC6" w:rsidTr="00B301E6">
        <w:tc>
          <w:tcPr>
            <w:tcW w:w="1276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17 09 04</w:t>
            </w:r>
          </w:p>
        </w:tc>
        <w:tc>
          <w:tcPr>
            <w:tcW w:w="439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>zmiešané odpady zo stavieb a demolácií iné ako uvedené v 17 09 01, 17 09 02 a 17 09 03</w:t>
            </w:r>
          </w:p>
        </w:tc>
        <w:tc>
          <w:tcPr>
            <w:tcW w:w="113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O</w:t>
            </w:r>
          </w:p>
        </w:tc>
        <w:tc>
          <w:tcPr>
            <w:tcW w:w="1418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85,00</w:t>
            </w:r>
          </w:p>
        </w:tc>
        <w:tc>
          <w:tcPr>
            <w:tcW w:w="1209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D1</w:t>
            </w:r>
          </w:p>
        </w:tc>
      </w:tr>
      <w:tr w:rsidR="00B301E6" w:rsidRPr="00A35CC6" w:rsidTr="00B301E6">
        <w:tc>
          <w:tcPr>
            <w:tcW w:w="1276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18 01 01</w:t>
            </w: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18 01 04</w:t>
            </w:r>
          </w:p>
        </w:tc>
        <w:tc>
          <w:tcPr>
            <w:tcW w:w="439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>ostré predmety okrem 18 01 03</w:t>
            </w: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 xml:space="preserve">odpady, ktorých zber a zneškodňovanie nepodliehajú osobitným požiadavkám z hľadiska prevencie nákazy(napr. obväzy, sadrové odtlačky a obväzy, posteľná bielizeň, jednorazové odevy, plienky) </w:t>
            </w:r>
          </w:p>
        </w:tc>
        <w:tc>
          <w:tcPr>
            <w:tcW w:w="113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O</w:t>
            </w: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O</w:t>
            </w:r>
          </w:p>
        </w:tc>
        <w:tc>
          <w:tcPr>
            <w:tcW w:w="1418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0,030</w:t>
            </w:r>
          </w:p>
        </w:tc>
        <w:tc>
          <w:tcPr>
            <w:tcW w:w="1209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D1</w:t>
            </w: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D10</w:t>
            </w:r>
          </w:p>
        </w:tc>
      </w:tr>
      <w:tr w:rsidR="00B301E6" w:rsidRPr="00A35CC6" w:rsidTr="00B301E6">
        <w:tc>
          <w:tcPr>
            <w:tcW w:w="1276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20 01 28</w:t>
            </w:r>
          </w:p>
        </w:tc>
        <w:tc>
          <w:tcPr>
            <w:tcW w:w="439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>farby, tlačiarenské farby, lepidlá a živice iné ako uvedené v 20 01 27</w:t>
            </w:r>
          </w:p>
        </w:tc>
        <w:tc>
          <w:tcPr>
            <w:tcW w:w="113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O</w:t>
            </w:r>
          </w:p>
        </w:tc>
        <w:tc>
          <w:tcPr>
            <w:tcW w:w="1418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0,10</w:t>
            </w:r>
          </w:p>
        </w:tc>
        <w:tc>
          <w:tcPr>
            <w:tcW w:w="1209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D10</w:t>
            </w:r>
          </w:p>
        </w:tc>
      </w:tr>
      <w:tr w:rsidR="00B301E6" w:rsidRPr="00A35CC6" w:rsidTr="00B301E6">
        <w:tc>
          <w:tcPr>
            <w:tcW w:w="1276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20 03 01</w:t>
            </w:r>
          </w:p>
        </w:tc>
        <w:tc>
          <w:tcPr>
            <w:tcW w:w="439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>zmesový komunálny odpad</w:t>
            </w:r>
          </w:p>
        </w:tc>
        <w:tc>
          <w:tcPr>
            <w:tcW w:w="113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O</w:t>
            </w:r>
          </w:p>
        </w:tc>
        <w:tc>
          <w:tcPr>
            <w:tcW w:w="1418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615,00</w:t>
            </w:r>
          </w:p>
        </w:tc>
        <w:tc>
          <w:tcPr>
            <w:tcW w:w="1209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D10</w:t>
            </w:r>
          </w:p>
        </w:tc>
      </w:tr>
      <w:tr w:rsidR="00B301E6" w:rsidRPr="00A35CC6" w:rsidTr="00B301E6">
        <w:tc>
          <w:tcPr>
            <w:tcW w:w="1276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rPr>
                <w:sz w:val="20"/>
              </w:rPr>
            </w:pPr>
            <w:r w:rsidRPr="00A35CC6">
              <w:rPr>
                <w:sz w:val="20"/>
              </w:rPr>
              <w:t>20 03 04</w:t>
            </w:r>
          </w:p>
        </w:tc>
        <w:tc>
          <w:tcPr>
            <w:tcW w:w="439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both"/>
              <w:rPr>
                <w:sz w:val="20"/>
              </w:rPr>
            </w:pPr>
            <w:r w:rsidRPr="00A35CC6">
              <w:rPr>
                <w:sz w:val="20"/>
              </w:rPr>
              <w:t>kal zo septikov</w:t>
            </w:r>
          </w:p>
        </w:tc>
        <w:tc>
          <w:tcPr>
            <w:tcW w:w="1134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O</w:t>
            </w:r>
          </w:p>
        </w:tc>
        <w:tc>
          <w:tcPr>
            <w:tcW w:w="1418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450 m</w:t>
            </w:r>
          </w:p>
        </w:tc>
        <w:tc>
          <w:tcPr>
            <w:tcW w:w="1209" w:type="dxa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A35CC6">
              <w:rPr>
                <w:sz w:val="20"/>
              </w:rPr>
              <w:t>ČOV</w:t>
            </w:r>
          </w:p>
        </w:tc>
      </w:tr>
    </w:tbl>
    <w:p w:rsidR="00B301E6" w:rsidRDefault="00B301E6" w:rsidP="00B301E6">
      <w:pPr>
        <w:jc w:val="both"/>
      </w:pPr>
    </w:p>
    <w:p w:rsidR="00B301E6" w:rsidRPr="00CE49F4" w:rsidRDefault="00B301E6" w:rsidP="00B301E6">
      <w:pPr>
        <w:jc w:val="both"/>
      </w:pPr>
      <w:r>
        <w:t>Kvapalné odpady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1134"/>
        <w:gridCol w:w="1418"/>
        <w:gridCol w:w="1276"/>
      </w:tblGrid>
      <w:tr w:rsidR="00B301E6" w:rsidRPr="00A35CC6" w:rsidTr="00B301E6">
        <w:trPr>
          <w:tblHeader/>
        </w:trPr>
        <w:tc>
          <w:tcPr>
            <w:tcW w:w="127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bCs/>
                <w:sz w:val="20"/>
              </w:rPr>
            </w:pPr>
            <w:r w:rsidRPr="00A35CC6">
              <w:rPr>
                <w:rFonts w:cs="Arial"/>
                <w:bCs/>
                <w:sz w:val="20"/>
              </w:rPr>
              <w:t>katalóg. č. odpadu</w:t>
            </w:r>
          </w:p>
        </w:tc>
        <w:tc>
          <w:tcPr>
            <w:tcW w:w="439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bCs/>
                <w:sz w:val="20"/>
              </w:rPr>
            </w:pPr>
            <w:r w:rsidRPr="00A35CC6">
              <w:rPr>
                <w:rFonts w:cs="Arial"/>
                <w:bCs/>
                <w:sz w:val="20"/>
              </w:rPr>
              <w:t>názov odpadu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bCs/>
                <w:sz w:val="20"/>
              </w:rPr>
            </w:pPr>
            <w:r w:rsidRPr="00A35CC6">
              <w:rPr>
                <w:rFonts w:cs="Arial"/>
                <w:bCs/>
                <w:sz w:val="20"/>
              </w:rPr>
              <w:t>kategória</w:t>
            </w: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bCs/>
                <w:sz w:val="20"/>
              </w:rPr>
            </w:pPr>
            <w:r w:rsidRPr="00A35CC6">
              <w:rPr>
                <w:rFonts w:cs="Arial"/>
                <w:bCs/>
                <w:sz w:val="20"/>
              </w:rPr>
              <w:t>odpadu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pStyle w:val="Normln"/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noProof w:val="0"/>
              </w:rPr>
            </w:pPr>
            <w:r w:rsidRPr="00A35CC6">
              <w:rPr>
                <w:rFonts w:ascii="Times New Roman" w:hAnsi="Times New Roman"/>
                <w:bCs/>
                <w:noProof w:val="0"/>
              </w:rPr>
              <w:t>predpokladané množstvo [ t ]</w:t>
            </w:r>
          </w:p>
        </w:tc>
        <w:tc>
          <w:tcPr>
            <w:tcW w:w="127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pStyle w:val="Normln"/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noProof w:val="0"/>
              </w:rPr>
            </w:pPr>
          </w:p>
          <w:p w:rsidR="00B301E6" w:rsidRPr="00A35CC6" w:rsidRDefault="00B301E6" w:rsidP="00B301E6">
            <w:pPr>
              <w:pStyle w:val="Normln"/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  <w:noProof w:val="0"/>
              </w:rPr>
            </w:pPr>
            <w:r w:rsidRPr="00A35CC6">
              <w:rPr>
                <w:rFonts w:ascii="Times New Roman" w:hAnsi="Times New Roman"/>
                <w:bCs/>
                <w:noProof w:val="0"/>
              </w:rPr>
              <w:t>kód nakladania</w:t>
            </w:r>
          </w:p>
          <w:p w:rsidR="00B301E6" w:rsidRPr="00A35CC6" w:rsidRDefault="00B301E6" w:rsidP="00B301E6">
            <w:pPr>
              <w:pStyle w:val="Normln"/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  <w:noProof w:val="0"/>
              </w:rPr>
            </w:pPr>
            <w:r w:rsidRPr="00A35CC6">
              <w:rPr>
                <w:rFonts w:ascii="Times New Roman" w:hAnsi="Times New Roman"/>
                <w:bCs/>
                <w:noProof w:val="0"/>
              </w:rPr>
              <w:t>s odpadom</w:t>
            </w:r>
          </w:p>
        </w:tc>
      </w:tr>
      <w:tr w:rsidR="00B301E6" w:rsidRPr="00CE49F4" w:rsidTr="00B301E6">
        <w:tc>
          <w:tcPr>
            <w:tcW w:w="1276" w:type="dxa"/>
            <w:tcBorders>
              <w:top w:val="thinThickSmallGap" w:sz="24" w:space="0" w:color="auto"/>
            </w:tcBorders>
          </w:tcPr>
          <w:p w:rsidR="00B301E6" w:rsidRPr="00CE49F4" w:rsidRDefault="00B301E6" w:rsidP="00B301E6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13 01 10</w:t>
            </w:r>
          </w:p>
        </w:tc>
        <w:tc>
          <w:tcPr>
            <w:tcW w:w="4394" w:type="dxa"/>
            <w:tcBorders>
              <w:top w:val="thinThickSmallGap" w:sz="24" w:space="0" w:color="auto"/>
            </w:tcBorders>
          </w:tcPr>
          <w:p w:rsidR="00B301E6" w:rsidRPr="00CE49F4" w:rsidRDefault="00B301E6" w:rsidP="00B301E6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nechlórované minerálne hydraulické oleje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B301E6" w:rsidRPr="00CE49F4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N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B301E6" w:rsidRPr="00CE49F4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50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B301E6" w:rsidRPr="00CE49F4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  <w:sz w:val="20"/>
              </w:rPr>
            </w:pPr>
            <w:r w:rsidRPr="00CE49F4">
              <w:rPr>
                <w:rFonts w:cs="Arial"/>
                <w:b/>
                <w:sz w:val="20"/>
              </w:rPr>
              <w:t>S</w:t>
            </w:r>
          </w:p>
        </w:tc>
      </w:tr>
      <w:tr w:rsidR="00B301E6" w:rsidRPr="00CE49F4" w:rsidTr="00B301E6">
        <w:tc>
          <w:tcPr>
            <w:tcW w:w="1276" w:type="dxa"/>
          </w:tcPr>
          <w:p w:rsidR="00B301E6" w:rsidRPr="00CE49F4" w:rsidRDefault="00B301E6" w:rsidP="00B301E6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13 02 06</w:t>
            </w:r>
          </w:p>
        </w:tc>
        <w:tc>
          <w:tcPr>
            <w:tcW w:w="4394" w:type="dxa"/>
          </w:tcPr>
          <w:p w:rsidR="00B301E6" w:rsidRPr="00CE49F4" w:rsidRDefault="00B301E6" w:rsidP="00B301E6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syntetické motorové, prevodové a mazacie oleje</w:t>
            </w:r>
          </w:p>
        </w:tc>
        <w:tc>
          <w:tcPr>
            <w:tcW w:w="1134" w:type="dxa"/>
          </w:tcPr>
          <w:p w:rsidR="00B301E6" w:rsidRPr="00CE49F4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N</w:t>
            </w:r>
          </w:p>
        </w:tc>
        <w:tc>
          <w:tcPr>
            <w:tcW w:w="1418" w:type="dxa"/>
          </w:tcPr>
          <w:p w:rsidR="00B301E6" w:rsidRPr="00CE49F4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300</w:t>
            </w:r>
          </w:p>
        </w:tc>
        <w:tc>
          <w:tcPr>
            <w:tcW w:w="1276" w:type="dxa"/>
          </w:tcPr>
          <w:p w:rsidR="00B301E6" w:rsidRPr="00CE49F4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S</w:t>
            </w:r>
          </w:p>
        </w:tc>
      </w:tr>
    </w:tbl>
    <w:p w:rsidR="00B301E6" w:rsidRPr="00B301E6" w:rsidRDefault="00B301E6" w:rsidP="00B301E6">
      <w:pPr>
        <w:pStyle w:val="Odsekzoznamu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1E6">
        <w:rPr>
          <w:rFonts w:ascii="Times New Roman" w:hAnsi="Times New Roman" w:cs="Times New Roman"/>
          <w:sz w:val="24"/>
          <w:szCs w:val="24"/>
        </w:rPr>
        <w:t xml:space="preserve">dodávateľ stavby bude držiteľom odpadu a je povinný splniť legislatívne požiadavky na držiteľa odpadu podľa § 19 ods. 1 písm. f) zákona č. 223/2001 Z.z. </w:t>
      </w:r>
    </w:p>
    <w:p w:rsidR="00B301E6" w:rsidRPr="00B301E6" w:rsidRDefault="00B301E6" w:rsidP="00B301E6">
      <w:pPr>
        <w:pStyle w:val="Odsekzoznamu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301E6">
        <w:rPr>
          <w:rFonts w:ascii="Times New Roman" w:hAnsi="Times New Roman" w:cs="Times New Roman"/>
          <w:sz w:val="24"/>
          <w:szCs w:val="24"/>
        </w:rPr>
        <w:t>dodávateľ stavby zabezpečí prepravu, zhodnotenie alebo zneškodnenie odpadov u spoločnosti oprávnenej na podnikanie v oblasti nakladania s odpadmi, a ktorá má platné povolenia a súhlasy v zmysle legislatívy na nakladanie s odpadmi</w:t>
      </w:r>
    </w:p>
    <w:p w:rsidR="00B301E6" w:rsidRDefault="00B301E6" w:rsidP="00B301E6">
      <w:pPr>
        <w:jc w:val="both"/>
      </w:pPr>
    </w:p>
    <w:p w:rsidR="005A0A1C" w:rsidRPr="0045071E" w:rsidRDefault="005A0A1C" w:rsidP="006F74F4">
      <w:pPr>
        <w:jc w:val="both"/>
      </w:pPr>
    </w:p>
    <w:p w:rsidR="00AA7E1A" w:rsidRDefault="005A0A1C" w:rsidP="00AA7E1A">
      <w:pPr>
        <w:jc w:val="both"/>
        <w:rPr>
          <w:i/>
        </w:rPr>
      </w:pPr>
      <w:r w:rsidRPr="0045071E">
        <w:rPr>
          <w:i/>
        </w:rPr>
        <w:t>2/</w:t>
      </w:r>
      <w:r w:rsidR="00B301E6">
        <w:rPr>
          <w:i/>
        </w:rPr>
        <w:t xml:space="preserve"> </w:t>
      </w:r>
      <w:r w:rsidR="00AA7E1A">
        <w:rPr>
          <w:i/>
        </w:rPr>
        <w:t>odpady vznikajúce pri výrobnej činnosti, údržbe a oprave strojov a technologického zariadenia:</w:t>
      </w:r>
    </w:p>
    <w:p w:rsidR="00AA7E1A" w:rsidRPr="00CE49F4" w:rsidRDefault="00AA7E1A" w:rsidP="00AA7E1A">
      <w:pPr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1134"/>
        <w:gridCol w:w="1418"/>
        <w:gridCol w:w="1276"/>
      </w:tblGrid>
      <w:tr w:rsidR="00AA7E1A" w:rsidRPr="00A35CC6" w:rsidTr="00C8059F">
        <w:trPr>
          <w:tblHeader/>
        </w:trPr>
        <w:tc>
          <w:tcPr>
            <w:tcW w:w="127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AA7E1A" w:rsidRPr="00A35CC6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bCs/>
                <w:sz w:val="20"/>
              </w:rPr>
            </w:pPr>
            <w:r w:rsidRPr="00A35CC6">
              <w:rPr>
                <w:rFonts w:cs="Arial"/>
                <w:bCs/>
                <w:sz w:val="20"/>
              </w:rPr>
              <w:t>katalóg. č. odpadu</w:t>
            </w:r>
          </w:p>
        </w:tc>
        <w:tc>
          <w:tcPr>
            <w:tcW w:w="439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AA7E1A" w:rsidRPr="00A35CC6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bCs/>
                <w:sz w:val="20"/>
              </w:rPr>
            </w:pPr>
            <w:r w:rsidRPr="00A35CC6">
              <w:rPr>
                <w:rFonts w:cs="Arial"/>
                <w:bCs/>
                <w:sz w:val="20"/>
              </w:rPr>
              <w:t>názov odpadu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AA7E1A" w:rsidRPr="00A35CC6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bCs/>
                <w:sz w:val="20"/>
              </w:rPr>
            </w:pPr>
            <w:r w:rsidRPr="00A35CC6">
              <w:rPr>
                <w:rFonts w:cs="Arial"/>
                <w:bCs/>
                <w:sz w:val="20"/>
              </w:rPr>
              <w:t>kategória</w:t>
            </w:r>
          </w:p>
          <w:p w:rsidR="00AA7E1A" w:rsidRPr="00A35CC6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bCs/>
                <w:sz w:val="20"/>
              </w:rPr>
            </w:pPr>
            <w:r w:rsidRPr="00A35CC6">
              <w:rPr>
                <w:rFonts w:cs="Arial"/>
                <w:bCs/>
                <w:sz w:val="20"/>
              </w:rPr>
              <w:t>odpadu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AA7E1A" w:rsidRDefault="00AA7E1A" w:rsidP="00C8059F">
            <w:pPr>
              <w:pStyle w:val="Normln"/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noProof w:val="0"/>
              </w:rPr>
            </w:pPr>
            <w:r w:rsidRPr="00A35CC6">
              <w:rPr>
                <w:rFonts w:ascii="Times New Roman" w:hAnsi="Times New Roman"/>
                <w:bCs/>
                <w:noProof w:val="0"/>
              </w:rPr>
              <w:t xml:space="preserve">predpokladané množstvo </w:t>
            </w:r>
          </w:p>
          <w:p w:rsidR="00AA7E1A" w:rsidRPr="00A35CC6" w:rsidRDefault="00AA7E1A" w:rsidP="00C8059F">
            <w:pPr>
              <w:pStyle w:val="Normln"/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noProof w:val="0"/>
              </w:rPr>
            </w:pPr>
            <w:r w:rsidRPr="00A35CC6">
              <w:rPr>
                <w:rFonts w:ascii="Times New Roman" w:hAnsi="Times New Roman"/>
                <w:bCs/>
                <w:noProof w:val="0"/>
              </w:rPr>
              <w:t>[</w:t>
            </w:r>
            <w:r>
              <w:rPr>
                <w:rFonts w:ascii="Times New Roman" w:hAnsi="Times New Roman"/>
                <w:bCs/>
                <w:noProof w:val="0"/>
              </w:rPr>
              <w:t>t/rok</w:t>
            </w:r>
            <w:r w:rsidRPr="00A35CC6">
              <w:rPr>
                <w:rFonts w:ascii="Times New Roman" w:hAnsi="Times New Roman"/>
                <w:bCs/>
                <w:noProof w:val="0"/>
              </w:rPr>
              <w:t xml:space="preserve"> ]</w:t>
            </w:r>
          </w:p>
        </w:tc>
        <w:tc>
          <w:tcPr>
            <w:tcW w:w="127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AA7E1A" w:rsidRPr="00A35CC6" w:rsidRDefault="00AA7E1A" w:rsidP="00C8059F">
            <w:pPr>
              <w:pStyle w:val="Normln"/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noProof w:val="0"/>
              </w:rPr>
            </w:pPr>
          </w:p>
          <w:p w:rsidR="00AA7E1A" w:rsidRPr="00A35CC6" w:rsidRDefault="00AA7E1A" w:rsidP="00C8059F">
            <w:pPr>
              <w:pStyle w:val="Normln"/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  <w:noProof w:val="0"/>
              </w:rPr>
            </w:pPr>
            <w:r w:rsidRPr="00A35CC6">
              <w:rPr>
                <w:rFonts w:ascii="Times New Roman" w:hAnsi="Times New Roman"/>
                <w:bCs/>
                <w:noProof w:val="0"/>
              </w:rPr>
              <w:t>kód nakladania</w:t>
            </w:r>
          </w:p>
          <w:p w:rsidR="00AA7E1A" w:rsidRPr="00A35CC6" w:rsidRDefault="00AA7E1A" w:rsidP="00C8059F">
            <w:pPr>
              <w:pStyle w:val="Normln"/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  <w:noProof w:val="0"/>
              </w:rPr>
            </w:pPr>
            <w:r w:rsidRPr="00A35CC6">
              <w:rPr>
                <w:rFonts w:ascii="Times New Roman" w:hAnsi="Times New Roman"/>
                <w:bCs/>
                <w:noProof w:val="0"/>
              </w:rPr>
              <w:t>s odpadom</w:t>
            </w:r>
          </w:p>
        </w:tc>
      </w:tr>
      <w:tr w:rsidR="00AA7E1A" w:rsidRPr="00CE49F4" w:rsidTr="00C8059F">
        <w:tc>
          <w:tcPr>
            <w:tcW w:w="1276" w:type="dxa"/>
            <w:tcBorders>
              <w:top w:val="thinThickSmallGap" w:sz="24" w:space="0" w:color="auto"/>
              <w:bottom w:val="single" w:sz="6" w:space="0" w:color="000000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06 13 02</w:t>
            </w:r>
          </w:p>
        </w:tc>
        <w:tc>
          <w:tcPr>
            <w:tcW w:w="4394" w:type="dxa"/>
            <w:tcBorders>
              <w:top w:val="thinThickSmallGap" w:sz="24" w:space="0" w:color="auto"/>
              <w:bottom w:val="single" w:sz="6" w:space="0" w:color="000000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použité aktívne uhlie (okrem 06 07 02)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single" w:sz="6" w:space="0" w:color="000000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N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6" w:space="0" w:color="000000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0,40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6" w:space="0" w:color="000000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D10</w:t>
            </w:r>
          </w:p>
        </w:tc>
      </w:tr>
      <w:tr w:rsidR="00AA7E1A" w:rsidRPr="00CE49F4" w:rsidTr="00C8059F">
        <w:tc>
          <w:tcPr>
            <w:tcW w:w="1276" w:type="dxa"/>
            <w:tcBorders>
              <w:top w:val="single" w:sz="6" w:space="0" w:color="000000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08 01 11</w:t>
            </w:r>
          </w:p>
        </w:tc>
        <w:tc>
          <w:tcPr>
            <w:tcW w:w="4394" w:type="dxa"/>
            <w:tcBorders>
              <w:top w:val="single" w:sz="6" w:space="0" w:color="000000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odpadové farby a laky obsahujúce organické rozpúšťadlá alebo iné nebezpečné látky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N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trike/>
                <w:color w:val="548DD4"/>
                <w:sz w:val="20"/>
              </w:rPr>
            </w:pPr>
            <w:r w:rsidRPr="00CE49F4">
              <w:rPr>
                <w:rFonts w:cs="Arial"/>
                <w:sz w:val="20"/>
              </w:rPr>
              <w:t>0,25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D10</w:t>
            </w:r>
          </w:p>
        </w:tc>
      </w:tr>
      <w:tr w:rsidR="00AA7E1A" w:rsidRPr="00CE49F4" w:rsidTr="00C8059F"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08 01 12</w:t>
            </w:r>
          </w:p>
        </w:tc>
        <w:tc>
          <w:tcPr>
            <w:tcW w:w="439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odpadové farby a laky iné ako uvedené v 08 01 11</w:t>
            </w:r>
          </w:p>
        </w:tc>
        <w:tc>
          <w:tcPr>
            <w:tcW w:w="113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</w:t>
            </w:r>
          </w:p>
        </w:tc>
        <w:tc>
          <w:tcPr>
            <w:tcW w:w="1418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0,10</w:t>
            </w:r>
          </w:p>
        </w:tc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D10</w:t>
            </w:r>
          </w:p>
        </w:tc>
      </w:tr>
      <w:tr w:rsidR="00AA7E1A" w:rsidRPr="00CE49F4" w:rsidTr="00C8059F"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15 01 01</w:t>
            </w:r>
          </w:p>
        </w:tc>
        <w:tc>
          <w:tcPr>
            <w:tcW w:w="439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obaly z papiera a lepenky</w:t>
            </w:r>
          </w:p>
        </w:tc>
        <w:tc>
          <w:tcPr>
            <w:tcW w:w="113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</w:t>
            </w:r>
          </w:p>
        </w:tc>
        <w:tc>
          <w:tcPr>
            <w:tcW w:w="1418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1,00</w:t>
            </w:r>
          </w:p>
        </w:tc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  <w:vertAlign w:val="subscript"/>
              </w:rPr>
              <w:t xml:space="preserve"> </w:t>
            </w:r>
            <w:r w:rsidRPr="00CE49F4">
              <w:rPr>
                <w:rFonts w:cs="Arial"/>
                <w:sz w:val="20"/>
              </w:rPr>
              <w:t>D10</w:t>
            </w:r>
          </w:p>
        </w:tc>
      </w:tr>
      <w:tr w:rsidR="00AA7E1A" w:rsidRPr="00CE49F4" w:rsidTr="00C8059F"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15 01 02</w:t>
            </w:r>
          </w:p>
        </w:tc>
        <w:tc>
          <w:tcPr>
            <w:tcW w:w="439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obaly z plastov</w:t>
            </w:r>
          </w:p>
        </w:tc>
        <w:tc>
          <w:tcPr>
            <w:tcW w:w="113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</w:t>
            </w:r>
          </w:p>
        </w:tc>
        <w:tc>
          <w:tcPr>
            <w:tcW w:w="1418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0,10</w:t>
            </w:r>
          </w:p>
        </w:tc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trike/>
                <w:sz w:val="20"/>
              </w:rPr>
            </w:pPr>
            <w:r w:rsidRPr="00CE49F4">
              <w:rPr>
                <w:rFonts w:cs="Arial"/>
                <w:sz w:val="20"/>
              </w:rPr>
              <w:t>D10</w:t>
            </w:r>
          </w:p>
        </w:tc>
      </w:tr>
      <w:tr w:rsidR="00AA7E1A" w:rsidRPr="00CE49F4" w:rsidTr="00C8059F"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15 01 03</w:t>
            </w:r>
          </w:p>
        </w:tc>
        <w:tc>
          <w:tcPr>
            <w:tcW w:w="439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obaly z dreva</w:t>
            </w:r>
          </w:p>
        </w:tc>
        <w:tc>
          <w:tcPr>
            <w:tcW w:w="113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</w:t>
            </w:r>
          </w:p>
        </w:tc>
        <w:tc>
          <w:tcPr>
            <w:tcW w:w="1418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1,00</w:t>
            </w:r>
          </w:p>
        </w:tc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sz w:val="20"/>
              </w:rPr>
            </w:pPr>
            <w:r w:rsidRPr="00CE49F4">
              <w:rPr>
                <w:rFonts w:cs="Arial"/>
                <w:sz w:val="20"/>
                <w:vertAlign w:val="subscript"/>
              </w:rPr>
              <w:t xml:space="preserve"> </w:t>
            </w:r>
            <w:r w:rsidRPr="00CE49F4">
              <w:rPr>
                <w:rFonts w:cs="Arial"/>
                <w:sz w:val="20"/>
              </w:rPr>
              <w:t>D10</w:t>
            </w:r>
          </w:p>
        </w:tc>
      </w:tr>
      <w:tr w:rsidR="00AA7E1A" w:rsidRPr="00CE49F4" w:rsidTr="00C8059F"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15 01 04</w:t>
            </w:r>
          </w:p>
        </w:tc>
        <w:tc>
          <w:tcPr>
            <w:tcW w:w="439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obaly z kovu</w:t>
            </w:r>
          </w:p>
        </w:tc>
        <w:tc>
          <w:tcPr>
            <w:tcW w:w="113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</w:t>
            </w:r>
          </w:p>
        </w:tc>
        <w:tc>
          <w:tcPr>
            <w:tcW w:w="1418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1,00</w:t>
            </w:r>
          </w:p>
        </w:tc>
        <w:tc>
          <w:tcPr>
            <w:tcW w:w="1276" w:type="dxa"/>
          </w:tcPr>
          <w:p w:rsidR="00AA7E1A" w:rsidRPr="00CE49F4" w:rsidRDefault="00AA7E1A" w:rsidP="00C8059F">
            <w:pPr>
              <w:jc w:val="center"/>
              <w:rPr>
                <w:sz w:val="20"/>
              </w:rPr>
            </w:pPr>
            <w:r w:rsidRPr="00CE49F4">
              <w:rPr>
                <w:rFonts w:cs="Arial"/>
                <w:sz w:val="20"/>
              </w:rPr>
              <w:t>R4</w:t>
            </w:r>
          </w:p>
        </w:tc>
      </w:tr>
      <w:tr w:rsidR="00AA7E1A" w:rsidRPr="00CE49F4" w:rsidTr="00C8059F"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15 01 06</w:t>
            </w:r>
          </w:p>
        </w:tc>
        <w:tc>
          <w:tcPr>
            <w:tcW w:w="439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zmiešané obaly</w:t>
            </w:r>
          </w:p>
        </w:tc>
        <w:tc>
          <w:tcPr>
            <w:tcW w:w="113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</w:t>
            </w:r>
          </w:p>
        </w:tc>
        <w:tc>
          <w:tcPr>
            <w:tcW w:w="1418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0,50</w:t>
            </w:r>
          </w:p>
        </w:tc>
        <w:tc>
          <w:tcPr>
            <w:tcW w:w="1276" w:type="dxa"/>
          </w:tcPr>
          <w:p w:rsidR="00AA7E1A" w:rsidRPr="00CE49F4" w:rsidRDefault="00AA7E1A" w:rsidP="00C8059F">
            <w:pPr>
              <w:jc w:val="center"/>
              <w:rPr>
                <w:sz w:val="20"/>
              </w:rPr>
            </w:pPr>
            <w:r w:rsidRPr="00CE49F4">
              <w:rPr>
                <w:rFonts w:cs="Arial"/>
                <w:sz w:val="20"/>
                <w:vertAlign w:val="subscript"/>
              </w:rPr>
              <w:t xml:space="preserve"> </w:t>
            </w:r>
            <w:r w:rsidRPr="00CE49F4">
              <w:rPr>
                <w:rFonts w:cs="Arial"/>
                <w:sz w:val="20"/>
              </w:rPr>
              <w:t>D10</w:t>
            </w:r>
          </w:p>
        </w:tc>
      </w:tr>
      <w:tr w:rsidR="00AA7E1A" w:rsidRPr="00CE49F4" w:rsidTr="00C8059F"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15 01 10</w:t>
            </w:r>
          </w:p>
        </w:tc>
        <w:tc>
          <w:tcPr>
            <w:tcW w:w="439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obaly obsahujúce zvyšky nebezpečných látok alebo kontaminované nebezpečnými látkami</w:t>
            </w:r>
          </w:p>
        </w:tc>
        <w:tc>
          <w:tcPr>
            <w:tcW w:w="113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N</w:t>
            </w:r>
          </w:p>
        </w:tc>
        <w:tc>
          <w:tcPr>
            <w:tcW w:w="1418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0,50</w:t>
            </w:r>
          </w:p>
        </w:tc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D10</w:t>
            </w:r>
          </w:p>
        </w:tc>
      </w:tr>
      <w:tr w:rsidR="00AA7E1A" w:rsidRPr="00CE49F4" w:rsidTr="00C8059F"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15 02 02</w:t>
            </w:r>
          </w:p>
        </w:tc>
        <w:tc>
          <w:tcPr>
            <w:tcW w:w="439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absorbenty, filtračné materiály vrátane olejových filtrov inak nešpecifikovaných, handry na čistenie, ochranné odevy kontaminované nebezpečnými látkami</w:t>
            </w:r>
          </w:p>
        </w:tc>
        <w:tc>
          <w:tcPr>
            <w:tcW w:w="113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N</w:t>
            </w:r>
          </w:p>
        </w:tc>
        <w:tc>
          <w:tcPr>
            <w:tcW w:w="1418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trike/>
                <w:sz w:val="20"/>
              </w:rPr>
            </w:pPr>
            <w:r w:rsidRPr="00CE49F4">
              <w:rPr>
                <w:rFonts w:cs="Arial"/>
                <w:sz w:val="20"/>
              </w:rPr>
              <w:t xml:space="preserve"> 2,00</w:t>
            </w:r>
          </w:p>
        </w:tc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D10</w:t>
            </w:r>
          </w:p>
        </w:tc>
      </w:tr>
    </w:tbl>
    <w:p w:rsidR="000B2331" w:rsidRDefault="000B2331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1134"/>
        <w:gridCol w:w="1418"/>
        <w:gridCol w:w="1276"/>
      </w:tblGrid>
      <w:tr w:rsidR="00AA7E1A" w:rsidRPr="00CE49F4" w:rsidTr="00AA7E1A">
        <w:tc>
          <w:tcPr>
            <w:tcW w:w="1276" w:type="dxa"/>
            <w:tcBorders>
              <w:bottom w:val="single" w:sz="6" w:space="0" w:color="000000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lastRenderedPageBreak/>
              <w:t>16 02 13</w:t>
            </w:r>
          </w:p>
        </w:tc>
        <w:tc>
          <w:tcPr>
            <w:tcW w:w="4394" w:type="dxa"/>
            <w:tcBorders>
              <w:bottom w:val="single" w:sz="6" w:space="0" w:color="000000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vyradené zariadenia obsahujúce nebezpečné časti, iné ako uvedené v 16 02 09 až 16 02 12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N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0,46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S</w:t>
            </w:r>
          </w:p>
        </w:tc>
      </w:tr>
      <w:tr w:rsidR="00AA7E1A" w:rsidRPr="00CE49F4" w:rsidTr="00AA7E1A">
        <w:tc>
          <w:tcPr>
            <w:tcW w:w="1276" w:type="dxa"/>
            <w:tcBorders>
              <w:top w:val="single" w:sz="6" w:space="0" w:color="000000"/>
              <w:bottom w:val="single" w:sz="2" w:space="0" w:color="auto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16 06 01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2" w:space="0" w:color="auto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sz w:val="20"/>
              </w:rPr>
              <w:t>olovené batérie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2" w:space="0" w:color="auto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N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2" w:space="0" w:color="auto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0,25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2" w:space="0" w:color="auto"/>
            </w:tcBorders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S</w:t>
            </w:r>
          </w:p>
        </w:tc>
      </w:tr>
    </w:tbl>
    <w:tbl>
      <w:tblPr>
        <w:tblStyle w:val="Mriekatabuky"/>
        <w:tblW w:w="9498" w:type="dxa"/>
        <w:tblLayout w:type="fixed"/>
        <w:tblLook w:val="0000" w:firstRow="0" w:lastRow="0" w:firstColumn="0" w:lastColumn="0" w:noHBand="0" w:noVBand="0"/>
      </w:tblPr>
      <w:tblGrid>
        <w:gridCol w:w="1276"/>
        <w:gridCol w:w="4394"/>
        <w:gridCol w:w="1134"/>
        <w:gridCol w:w="1418"/>
        <w:gridCol w:w="1276"/>
      </w:tblGrid>
      <w:tr w:rsidR="00AA7E1A" w:rsidRPr="00CE49F4" w:rsidTr="00C8059F"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16 08 07</w:t>
            </w:r>
          </w:p>
        </w:tc>
        <w:tc>
          <w:tcPr>
            <w:tcW w:w="439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Použité katalyzátory kontaminované nebezpečnými látkami</w:t>
            </w:r>
            <w:r>
              <w:rPr>
                <w:rFonts w:cs="Arial"/>
                <w:sz w:val="20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ich množstvo je uvedené na dobu výmeny)</w:t>
            </w:r>
            <w:r w:rsidRPr="00CE49F4">
              <w:rPr>
                <w:rFonts w:cs="Arial"/>
                <w:sz w:val="20"/>
              </w:rPr>
              <w:t>:</w:t>
            </w:r>
          </w:p>
          <w:p w:rsidR="00AA7E1A" w:rsidRPr="00BC192E" w:rsidRDefault="00AA7E1A" w:rsidP="00AA7E1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E">
              <w:rPr>
                <w:rFonts w:ascii="Times New Roman" w:hAnsi="Times New Roman"/>
                <w:sz w:val="20"/>
                <w:szCs w:val="20"/>
              </w:rPr>
              <w:t>hydrogenerátor: výmena cca raz za 5 rokov</w:t>
            </w:r>
          </w:p>
          <w:p w:rsidR="00AA7E1A" w:rsidRPr="00BC192E" w:rsidRDefault="00AA7E1A" w:rsidP="00AA7E1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E">
              <w:rPr>
                <w:rFonts w:ascii="Times New Roman" w:hAnsi="Times New Roman"/>
                <w:sz w:val="20"/>
                <w:szCs w:val="20"/>
              </w:rPr>
              <w:t>absorbér síry: výmena cca raz za 6 mesiacov</w:t>
            </w:r>
          </w:p>
          <w:p w:rsidR="00AA7E1A" w:rsidRPr="00BC192E" w:rsidRDefault="00AA7E1A" w:rsidP="00AA7E1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E">
              <w:rPr>
                <w:rFonts w:ascii="Times New Roman" w:hAnsi="Times New Roman"/>
                <w:sz w:val="20"/>
                <w:szCs w:val="20"/>
              </w:rPr>
              <w:t>primárny reforming: výmena cca raz za 5 rokov</w:t>
            </w:r>
          </w:p>
          <w:p w:rsidR="00AA7E1A" w:rsidRPr="00BC192E" w:rsidRDefault="00AA7E1A" w:rsidP="00AA7E1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E">
              <w:rPr>
                <w:rFonts w:ascii="Times New Roman" w:hAnsi="Times New Roman"/>
                <w:sz w:val="20"/>
                <w:szCs w:val="20"/>
              </w:rPr>
              <w:t>sekundárny reforming: výmena cca raz za 10 rokov</w:t>
            </w:r>
          </w:p>
          <w:p w:rsidR="00AA7E1A" w:rsidRPr="00BC192E" w:rsidRDefault="00AA7E1A" w:rsidP="00AA7E1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E">
              <w:rPr>
                <w:rFonts w:ascii="Times New Roman" w:hAnsi="Times New Roman"/>
                <w:sz w:val="20"/>
                <w:szCs w:val="20"/>
              </w:rPr>
              <w:t>reforming č. 3: výmena cca raz za 5 rokov</w:t>
            </w:r>
          </w:p>
          <w:p w:rsidR="00AA7E1A" w:rsidRPr="00BC192E" w:rsidRDefault="00AA7E1A" w:rsidP="00AA7E1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E">
              <w:rPr>
                <w:rFonts w:ascii="Times New Roman" w:hAnsi="Times New Roman"/>
                <w:sz w:val="20"/>
                <w:szCs w:val="20"/>
              </w:rPr>
              <w:t>VTK: výmena cca raz za 5 rokov</w:t>
            </w:r>
          </w:p>
          <w:p w:rsidR="00AA7E1A" w:rsidRPr="00BC192E" w:rsidRDefault="00AA7E1A" w:rsidP="00AA7E1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E">
              <w:rPr>
                <w:rFonts w:ascii="Times New Roman" w:hAnsi="Times New Roman"/>
                <w:sz w:val="20"/>
                <w:szCs w:val="20"/>
              </w:rPr>
              <w:t>NTK: výmena cca raz za 5 rokov</w:t>
            </w:r>
          </w:p>
          <w:p w:rsidR="00AA7E1A" w:rsidRPr="00BC192E" w:rsidRDefault="00AA7E1A" w:rsidP="00AA7E1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E">
              <w:rPr>
                <w:rFonts w:ascii="Times New Roman" w:hAnsi="Times New Roman"/>
                <w:sz w:val="20"/>
                <w:szCs w:val="20"/>
              </w:rPr>
              <w:t>metanizátor: výmena cca raz za 10 rokov</w:t>
            </w:r>
          </w:p>
          <w:p w:rsidR="00AA7E1A" w:rsidRPr="00BC192E" w:rsidRDefault="00AA7E1A" w:rsidP="00AA7E1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92E">
              <w:rPr>
                <w:rFonts w:ascii="Times New Roman" w:hAnsi="Times New Roman"/>
                <w:sz w:val="20"/>
                <w:szCs w:val="20"/>
              </w:rPr>
              <w:t>syntézny reaktor č. 1: výmena  cca raz za 10 rokov</w:t>
            </w:r>
          </w:p>
          <w:p w:rsidR="00AA7E1A" w:rsidRPr="00CE49F4" w:rsidRDefault="00AA7E1A" w:rsidP="00AA7E1A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C192E">
              <w:rPr>
                <w:rFonts w:ascii="Times New Roman" w:hAnsi="Times New Roman"/>
                <w:sz w:val="20"/>
                <w:szCs w:val="20"/>
              </w:rPr>
              <w:t>syntézny reaktor č. 2: výmena cca raz za 10 rokov</w:t>
            </w:r>
          </w:p>
        </w:tc>
        <w:tc>
          <w:tcPr>
            <w:tcW w:w="113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N</w:t>
            </w:r>
          </w:p>
        </w:tc>
        <w:tc>
          <w:tcPr>
            <w:tcW w:w="1418" w:type="dxa"/>
          </w:tcPr>
          <w:p w:rsidR="00AA7E1A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</w:p>
          <w:p w:rsidR="00AA7E1A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r w:rsidRPr="00CE49F4">
              <w:rPr>
                <w:rFonts w:cs="Arial"/>
                <w:sz w:val="20"/>
              </w:rPr>
              <w:t>5,0 m</w:t>
            </w:r>
            <w:r w:rsidRPr="00CE49F4">
              <w:rPr>
                <w:rFonts w:cs="Arial"/>
                <w:sz w:val="20"/>
                <w:vertAlign w:val="superscript"/>
              </w:rPr>
              <w:t>3</w:t>
            </w: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6,0</w:t>
            </w:r>
            <w:r w:rsidRPr="00CE49F4">
              <w:rPr>
                <w:sz w:val="20"/>
              </w:rPr>
              <w:t xml:space="preserve"> </w:t>
            </w:r>
            <w:r w:rsidRPr="00CE49F4">
              <w:rPr>
                <w:rFonts w:cs="Arial"/>
                <w:sz w:val="20"/>
              </w:rPr>
              <w:t>m</w:t>
            </w:r>
            <w:r w:rsidRPr="00CE49F4">
              <w:rPr>
                <w:rFonts w:cs="Arial"/>
                <w:sz w:val="20"/>
                <w:vertAlign w:val="superscript"/>
              </w:rPr>
              <w:t>3</w:t>
            </w:r>
          </w:p>
          <w:p w:rsidR="00AA7E1A" w:rsidRPr="00CE49F4" w:rsidRDefault="000B2331" w:rsidP="000B2331">
            <w:pPr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AA7E1A" w:rsidRPr="00CE49F4">
              <w:rPr>
                <w:sz w:val="20"/>
              </w:rPr>
              <w:t>24,0 m</w:t>
            </w:r>
            <w:r w:rsidR="00AA7E1A" w:rsidRPr="00CE49F4">
              <w:rPr>
                <w:sz w:val="20"/>
                <w:vertAlign w:val="superscript"/>
              </w:rPr>
              <w:t>3</w:t>
            </w:r>
          </w:p>
          <w:p w:rsidR="00AA7E1A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Pr="00CE49F4">
              <w:rPr>
                <w:rFonts w:cs="Arial"/>
                <w:sz w:val="20"/>
              </w:rPr>
              <w:t>27,0 m</w:t>
            </w:r>
            <w:r w:rsidRPr="00CE49F4">
              <w:rPr>
                <w:rFonts w:cs="Arial"/>
                <w:sz w:val="20"/>
                <w:vertAlign w:val="superscript"/>
              </w:rPr>
              <w:t>3</w:t>
            </w:r>
          </w:p>
          <w:p w:rsidR="00AA7E1A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12,0 m</w:t>
            </w:r>
            <w:r w:rsidRPr="00CE49F4">
              <w:rPr>
                <w:rFonts w:cs="Arial"/>
                <w:sz w:val="20"/>
                <w:vertAlign w:val="superscript"/>
              </w:rPr>
              <w:t>3</w:t>
            </w: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42,0  m</w:t>
            </w:r>
            <w:r w:rsidRPr="00CE49F4">
              <w:rPr>
                <w:rFonts w:cs="Arial"/>
                <w:sz w:val="20"/>
                <w:vertAlign w:val="superscript"/>
              </w:rPr>
              <w:t>3</w:t>
            </w: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74,0 m</w:t>
            </w:r>
            <w:r w:rsidRPr="00CE49F4">
              <w:rPr>
                <w:rFonts w:cs="Arial"/>
                <w:sz w:val="20"/>
                <w:vertAlign w:val="superscript"/>
              </w:rPr>
              <w:t>3</w:t>
            </w: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18,0 m</w:t>
            </w:r>
            <w:r w:rsidRPr="00CE49F4">
              <w:rPr>
                <w:rFonts w:cs="Arial"/>
                <w:sz w:val="20"/>
                <w:vertAlign w:val="superscript"/>
              </w:rPr>
              <w:t>3</w:t>
            </w: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104,0 m</w:t>
            </w:r>
            <w:r w:rsidRPr="00CE49F4">
              <w:rPr>
                <w:rFonts w:cs="Arial"/>
                <w:sz w:val="20"/>
                <w:vertAlign w:val="superscript"/>
              </w:rPr>
              <w:t>3</w:t>
            </w:r>
          </w:p>
          <w:p w:rsidR="000B2331" w:rsidRDefault="000B2331" w:rsidP="000B2331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</w:t>
            </w:r>
          </w:p>
          <w:p w:rsidR="00AA7E1A" w:rsidRPr="00CE49F4" w:rsidRDefault="000B2331" w:rsidP="000B2331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="00AA7E1A" w:rsidRPr="00CE49F4">
              <w:rPr>
                <w:rFonts w:cs="Arial"/>
                <w:sz w:val="20"/>
              </w:rPr>
              <w:t>83,0 m</w:t>
            </w:r>
            <w:r w:rsidR="00AA7E1A" w:rsidRPr="00CE49F4">
              <w:rPr>
                <w:rFonts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R5</w:t>
            </w:r>
          </w:p>
        </w:tc>
      </w:tr>
      <w:tr w:rsidR="00AA7E1A" w:rsidRPr="00CE49F4" w:rsidTr="00C8059F"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17 04 11</w:t>
            </w:r>
          </w:p>
        </w:tc>
        <w:tc>
          <w:tcPr>
            <w:tcW w:w="439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káble iné ako uvedené v 17 04 10</w:t>
            </w:r>
          </w:p>
        </w:tc>
        <w:tc>
          <w:tcPr>
            <w:tcW w:w="113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</w:t>
            </w:r>
          </w:p>
        </w:tc>
        <w:tc>
          <w:tcPr>
            <w:tcW w:w="1418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0,25</w:t>
            </w:r>
          </w:p>
        </w:tc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R4</w:t>
            </w:r>
          </w:p>
        </w:tc>
      </w:tr>
      <w:tr w:rsidR="00AA7E1A" w:rsidRPr="00CE49F4" w:rsidTr="00C8059F"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18 01 01</w:t>
            </w: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18 01 04</w:t>
            </w:r>
          </w:p>
        </w:tc>
        <w:tc>
          <w:tcPr>
            <w:tcW w:w="439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ostré predmety okrem 18 01 03</w:t>
            </w: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 xml:space="preserve">odpady, ktorých zber a zneškodňovanie nepodliehajú osobitným požiadavkám z hľadiska prevencie nákazy(napr. obväzy, sadrové odtlačky a obväzy, posteľná bielizeň, jednorazové odevy, plienky) </w:t>
            </w:r>
          </w:p>
        </w:tc>
        <w:tc>
          <w:tcPr>
            <w:tcW w:w="113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</w:t>
            </w: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</w:t>
            </w:r>
          </w:p>
        </w:tc>
        <w:tc>
          <w:tcPr>
            <w:tcW w:w="1418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0,030</w:t>
            </w:r>
          </w:p>
        </w:tc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D1</w:t>
            </w: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 xml:space="preserve"> D10</w:t>
            </w:r>
          </w:p>
        </w:tc>
      </w:tr>
      <w:tr w:rsidR="00AA7E1A" w:rsidRPr="00CE49F4" w:rsidTr="00C8059F"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19 12 04</w:t>
            </w:r>
          </w:p>
        </w:tc>
        <w:tc>
          <w:tcPr>
            <w:tcW w:w="439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plasty a guma</w:t>
            </w:r>
          </w:p>
        </w:tc>
        <w:tc>
          <w:tcPr>
            <w:tcW w:w="113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</w:t>
            </w:r>
          </w:p>
        </w:tc>
        <w:tc>
          <w:tcPr>
            <w:tcW w:w="1418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0,10</w:t>
            </w:r>
          </w:p>
        </w:tc>
        <w:tc>
          <w:tcPr>
            <w:tcW w:w="1276" w:type="dxa"/>
          </w:tcPr>
          <w:p w:rsidR="00AA7E1A" w:rsidRPr="00CE49F4" w:rsidRDefault="00AA7E1A" w:rsidP="00C8059F">
            <w:pPr>
              <w:jc w:val="center"/>
              <w:rPr>
                <w:sz w:val="20"/>
              </w:rPr>
            </w:pPr>
            <w:r w:rsidRPr="00CE49F4">
              <w:rPr>
                <w:rFonts w:cs="Arial"/>
                <w:sz w:val="20"/>
              </w:rPr>
              <w:t>D10</w:t>
            </w:r>
          </w:p>
        </w:tc>
      </w:tr>
      <w:tr w:rsidR="00AA7E1A" w:rsidRPr="00CE49F4" w:rsidTr="00C8059F"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20 01 28</w:t>
            </w:r>
          </w:p>
        </w:tc>
        <w:tc>
          <w:tcPr>
            <w:tcW w:w="439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farby, tlačiarenské farby, lepidlá a živice iné ako uvedené v 20 01 27</w:t>
            </w:r>
          </w:p>
        </w:tc>
        <w:tc>
          <w:tcPr>
            <w:tcW w:w="113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</w:t>
            </w:r>
          </w:p>
        </w:tc>
        <w:tc>
          <w:tcPr>
            <w:tcW w:w="1418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 xml:space="preserve"> </w:t>
            </w: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0,10</w:t>
            </w:r>
          </w:p>
        </w:tc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</w:p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D10</w:t>
            </w:r>
          </w:p>
        </w:tc>
      </w:tr>
      <w:tr w:rsidR="00AA7E1A" w:rsidRPr="00CE49F4" w:rsidTr="00C8059F"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20 03 01</w:t>
            </w:r>
          </w:p>
        </w:tc>
        <w:tc>
          <w:tcPr>
            <w:tcW w:w="439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zmesový komunálny odpad</w:t>
            </w:r>
          </w:p>
        </w:tc>
        <w:tc>
          <w:tcPr>
            <w:tcW w:w="1134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O</w:t>
            </w:r>
          </w:p>
        </w:tc>
        <w:tc>
          <w:tcPr>
            <w:tcW w:w="1418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5,00</w:t>
            </w:r>
          </w:p>
        </w:tc>
        <w:tc>
          <w:tcPr>
            <w:tcW w:w="1276" w:type="dxa"/>
          </w:tcPr>
          <w:p w:rsidR="00AA7E1A" w:rsidRPr="00CE49F4" w:rsidRDefault="00AA7E1A" w:rsidP="00C8059F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CE49F4">
              <w:rPr>
                <w:rFonts w:cs="Arial"/>
                <w:sz w:val="20"/>
              </w:rPr>
              <w:t>D10</w:t>
            </w:r>
          </w:p>
        </w:tc>
      </w:tr>
    </w:tbl>
    <w:p w:rsidR="00AA7E1A" w:rsidRDefault="00AA7E1A" w:rsidP="00AA7E1A">
      <w:pPr>
        <w:jc w:val="both"/>
      </w:pPr>
    </w:p>
    <w:p w:rsidR="00AA7E1A" w:rsidRPr="00CE49F4" w:rsidRDefault="00AA7E1A" w:rsidP="00AA7E1A">
      <w:pPr>
        <w:pStyle w:val="odst2"/>
        <w:ind w:left="0"/>
        <w:rPr>
          <w:rFonts w:ascii="Times New Roman" w:hAnsi="Times New Roman"/>
          <w:w w:val="100"/>
          <w:sz w:val="24"/>
          <w:szCs w:val="24"/>
        </w:rPr>
      </w:pPr>
      <w:r w:rsidRPr="00CE49F4">
        <w:rPr>
          <w:rFonts w:ascii="Times New Roman" w:hAnsi="Times New Roman"/>
          <w:w w:val="100"/>
          <w:sz w:val="24"/>
          <w:szCs w:val="24"/>
        </w:rPr>
        <w:t xml:space="preserve">D1 – </w:t>
      </w:r>
      <w:r>
        <w:rPr>
          <w:rFonts w:ascii="Times New Roman" w:hAnsi="Times New Roman"/>
          <w:w w:val="100"/>
          <w:sz w:val="24"/>
          <w:szCs w:val="24"/>
        </w:rPr>
        <w:t>v zmysle</w:t>
      </w:r>
      <w:r w:rsidRPr="00CE49F4">
        <w:rPr>
          <w:rFonts w:ascii="Times New Roman" w:hAnsi="Times New Roman"/>
          <w:w w:val="100"/>
          <w:sz w:val="24"/>
          <w:szCs w:val="24"/>
        </w:rPr>
        <w:t xml:space="preserve"> prílohy č. 3 k zákonu č. 223/2001 Z.z  o odpadoch v znení neskorších predpisov (v ďalšom texte už len zákon o odpadoch) – uloží sa na riadenú skládku odpadov vyhovujúceho typu;</w:t>
      </w:r>
    </w:p>
    <w:p w:rsidR="00AA7E1A" w:rsidRPr="00CE49F4" w:rsidRDefault="00AA7E1A" w:rsidP="00AA7E1A">
      <w:pPr>
        <w:pStyle w:val="odst2"/>
        <w:ind w:left="0"/>
        <w:rPr>
          <w:rFonts w:ascii="Times New Roman" w:hAnsi="Times New Roman"/>
          <w:w w:val="100"/>
          <w:sz w:val="24"/>
          <w:szCs w:val="24"/>
        </w:rPr>
      </w:pPr>
      <w:r w:rsidRPr="00CE49F4">
        <w:rPr>
          <w:rFonts w:ascii="Times New Roman" w:hAnsi="Times New Roman"/>
          <w:w w:val="100"/>
          <w:sz w:val="24"/>
          <w:szCs w:val="24"/>
        </w:rPr>
        <w:t xml:space="preserve">D10 – </w:t>
      </w:r>
      <w:r>
        <w:rPr>
          <w:rFonts w:ascii="Times New Roman" w:hAnsi="Times New Roman"/>
          <w:w w:val="100"/>
          <w:sz w:val="24"/>
          <w:szCs w:val="24"/>
        </w:rPr>
        <w:t>v zmysle</w:t>
      </w:r>
      <w:r w:rsidRPr="00CE49F4">
        <w:rPr>
          <w:rFonts w:ascii="Times New Roman" w:hAnsi="Times New Roman"/>
          <w:w w:val="100"/>
          <w:sz w:val="24"/>
          <w:szCs w:val="24"/>
        </w:rPr>
        <w:t xml:space="preserve"> prílohy č. 3 k zákonu o odpadoch – spaľovanie na pevnine;</w:t>
      </w:r>
    </w:p>
    <w:p w:rsidR="00AA7E1A" w:rsidRPr="003B2BA3" w:rsidRDefault="00AA7E1A" w:rsidP="00AA7E1A">
      <w:pPr>
        <w:pStyle w:val="odst2"/>
        <w:ind w:left="0"/>
        <w:rPr>
          <w:rFonts w:ascii="Times New Roman" w:hAnsi="Times New Roman"/>
          <w:color w:val="FF0000"/>
          <w:w w:val="100"/>
          <w:sz w:val="24"/>
          <w:szCs w:val="24"/>
        </w:rPr>
      </w:pPr>
      <w:r w:rsidRPr="006B62F4">
        <w:rPr>
          <w:rFonts w:ascii="Times New Roman" w:hAnsi="Times New Roman"/>
          <w:w w:val="100"/>
          <w:sz w:val="24"/>
          <w:szCs w:val="24"/>
        </w:rPr>
        <w:t xml:space="preserve">R1 - </w:t>
      </w:r>
      <w:r>
        <w:rPr>
          <w:rFonts w:ascii="Times New Roman" w:hAnsi="Times New Roman"/>
          <w:w w:val="100"/>
          <w:sz w:val="24"/>
          <w:szCs w:val="24"/>
        </w:rPr>
        <w:t>v zmysle</w:t>
      </w:r>
      <w:r w:rsidRPr="00CE49F4">
        <w:rPr>
          <w:rFonts w:ascii="Times New Roman" w:hAnsi="Times New Roman"/>
          <w:w w:val="100"/>
          <w:sz w:val="24"/>
          <w:szCs w:val="24"/>
        </w:rPr>
        <w:t xml:space="preserve"> prílohy č. </w:t>
      </w:r>
      <w:r>
        <w:rPr>
          <w:rFonts w:ascii="Times New Roman" w:hAnsi="Times New Roman"/>
          <w:w w:val="100"/>
          <w:sz w:val="24"/>
          <w:szCs w:val="24"/>
        </w:rPr>
        <w:t>2</w:t>
      </w:r>
      <w:r w:rsidRPr="00CE49F4">
        <w:rPr>
          <w:rFonts w:ascii="Times New Roman" w:hAnsi="Times New Roman"/>
          <w:w w:val="100"/>
          <w:sz w:val="24"/>
          <w:szCs w:val="24"/>
        </w:rPr>
        <w:t xml:space="preserve"> k zákonu o</w:t>
      </w:r>
      <w:r>
        <w:rPr>
          <w:rFonts w:ascii="Times New Roman" w:hAnsi="Times New Roman"/>
          <w:w w:val="100"/>
          <w:sz w:val="24"/>
          <w:szCs w:val="24"/>
        </w:rPr>
        <w:t> </w:t>
      </w:r>
      <w:r w:rsidRPr="00CE49F4">
        <w:rPr>
          <w:rFonts w:ascii="Times New Roman" w:hAnsi="Times New Roman"/>
          <w:w w:val="100"/>
          <w:sz w:val="24"/>
          <w:szCs w:val="24"/>
        </w:rPr>
        <w:t>odpadoch</w:t>
      </w:r>
      <w:r>
        <w:rPr>
          <w:rFonts w:ascii="Times New Roman" w:hAnsi="Times New Roman"/>
          <w:w w:val="100"/>
          <w:sz w:val="24"/>
          <w:szCs w:val="24"/>
        </w:rPr>
        <w:t xml:space="preserve"> – využitie ako palivo </w:t>
      </w:r>
    </w:p>
    <w:p w:rsidR="00AA7E1A" w:rsidRPr="00CE49F4" w:rsidRDefault="00AA7E1A" w:rsidP="00AA7E1A">
      <w:pPr>
        <w:pStyle w:val="odst2"/>
        <w:ind w:left="0"/>
        <w:rPr>
          <w:rFonts w:ascii="Times New Roman" w:hAnsi="Times New Roman"/>
          <w:w w:val="100"/>
          <w:sz w:val="24"/>
          <w:szCs w:val="24"/>
        </w:rPr>
      </w:pPr>
      <w:r w:rsidRPr="00CE49F4">
        <w:rPr>
          <w:rFonts w:ascii="Times New Roman" w:hAnsi="Times New Roman"/>
          <w:w w:val="100"/>
          <w:sz w:val="24"/>
          <w:szCs w:val="24"/>
        </w:rPr>
        <w:t xml:space="preserve">R4 – </w:t>
      </w:r>
      <w:r>
        <w:rPr>
          <w:rFonts w:ascii="Times New Roman" w:hAnsi="Times New Roman"/>
          <w:w w:val="100"/>
          <w:sz w:val="24"/>
          <w:szCs w:val="24"/>
        </w:rPr>
        <w:t>v zmysle</w:t>
      </w:r>
      <w:r w:rsidRPr="00CE49F4">
        <w:rPr>
          <w:rFonts w:ascii="Times New Roman" w:hAnsi="Times New Roman"/>
          <w:w w:val="100"/>
          <w:sz w:val="24"/>
          <w:szCs w:val="24"/>
        </w:rPr>
        <w:t xml:space="preserve"> prílohy č. 2 k zákonu o odpadoch – odpredá sa </w:t>
      </w:r>
      <w:r>
        <w:rPr>
          <w:rFonts w:ascii="Times New Roman" w:hAnsi="Times New Roman"/>
          <w:w w:val="100"/>
          <w:sz w:val="24"/>
          <w:szCs w:val="24"/>
        </w:rPr>
        <w:t>oprávnenej organizácii</w:t>
      </w:r>
      <w:r w:rsidRPr="00CE49F4">
        <w:rPr>
          <w:rFonts w:ascii="Times New Roman" w:hAnsi="Times New Roman"/>
          <w:w w:val="100"/>
          <w:sz w:val="24"/>
          <w:szCs w:val="24"/>
        </w:rPr>
        <w:t xml:space="preserve"> – recyklácia;</w:t>
      </w:r>
    </w:p>
    <w:p w:rsidR="00AA7E1A" w:rsidRPr="00CE49F4" w:rsidRDefault="00AA7E1A" w:rsidP="00AA7E1A">
      <w:pPr>
        <w:pStyle w:val="odst2"/>
        <w:ind w:left="0"/>
        <w:rPr>
          <w:rFonts w:ascii="Times New Roman" w:hAnsi="Times New Roman"/>
          <w:w w:val="100"/>
          <w:sz w:val="24"/>
          <w:szCs w:val="24"/>
        </w:rPr>
      </w:pPr>
      <w:r w:rsidRPr="00CE49F4">
        <w:rPr>
          <w:rFonts w:ascii="Times New Roman" w:hAnsi="Times New Roman"/>
          <w:w w:val="100"/>
          <w:sz w:val="24"/>
          <w:szCs w:val="24"/>
        </w:rPr>
        <w:t xml:space="preserve">R5 – </w:t>
      </w:r>
      <w:r>
        <w:rPr>
          <w:rFonts w:ascii="Times New Roman" w:hAnsi="Times New Roman"/>
          <w:w w:val="100"/>
          <w:sz w:val="24"/>
          <w:szCs w:val="24"/>
        </w:rPr>
        <w:t>v zmysle</w:t>
      </w:r>
      <w:r w:rsidRPr="00CE49F4">
        <w:rPr>
          <w:rFonts w:ascii="Times New Roman" w:hAnsi="Times New Roman"/>
          <w:w w:val="100"/>
          <w:sz w:val="24"/>
          <w:szCs w:val="24"/>
        </w:rPr>
        <w:t xml:space="preserve"> prílohy č. 2 k zákonu o odpadoch - recyklácia alebo spätné získavanie iných anorganických materiálov - katalyzátory sa odpredajú ich výrobcom alebo dodávateľom na</w:t>
      </w:r>
      <w:r>
        <w:rPr>
          <w:rFonts w:ascii="Times New Roman" w:hAnsi="Times New Roman"/>
          <w:w w:val="100"/>
          <w:sz w:val="24"/>
          <w:szCs w:val="24"/>
        </w:rPr>
        <w:t> </w:t>
      </w:r>
      <w:r w:rsidRPr="00CE49F4">
        <w:rPr>
          <w:rFonts w:ascii="Times New Roman" w:hAnsi="Times New Roman"/>
          <w:w w:val="100"/>
          <w:sz w:val="24"/>
          <w:szCs w:val="24"/>
        </w:rPr>
        <w:t>prepracovanie.</w:t>
      </w:r>
    </w:p>
    <w:p w:rsidR="00AA7E1A" w:rsidRPr="00CE49F4" w:rsidRDefault="00AA7E1A" w:rsidP="00AA7E1A">
      <w:pPr>
        <w:pStyle w:val="odst2"/>
        <w:ind w:left="0"/>
        <w:rPr>
          <w:rFonts w:ascii="Times New Roman" w:hAnsi="Times New Roman"/>
          <w:strike/>
          <w:w w:val="100"/>
          <w:sz w:val="24"/>
          <w:szCs w:val="24"/>
        </w:rPr>
      </w:pPr>
      <w:r w:rsidRPr="00CE49F4">
        <w:rPr>
          <w:rFonts w:ascii="Times New Roman" w:hAnsi="Times New Roman"/>
          <w:w w:val="100"/>
          <w:sz w:val="24"/>
          <w:szCs w:val="24"/>
        </w:rPr>
        <w:t>Rc – recyklácia (vráti sa výrobcovi resp. dodávateľovi);</w:t>
      </w:r>
    </w:p>
    <w:p w:rsidR="00AA7E1A" w:rsidRPr="006B62F4" w:rsidRDefault="00AA7E1A" w:rsidP="00AA7E1A">
      <w:pPr>
        <w:pStyle w:val="odst2"/>
        <w:ind w:left="0"/>
        <w:rPr>
          <w:rFonts w:ascii="Times New Roman" w:hAnsi="Times New Roman"/>
          <w:w w:val="100"/>
          <w:sz w:val="24"/>
          <w:szCs w:val="24"/>
        </w:rPr>
      </w:pPr>
      <w:r w:rsidRPr="006B62F4">
        <w:rPr>
          <w:rFonts w:ascii="Times New Roman" w:hAnsi="Times New Roman"/>
          <w:w w:val="100"/>
          <w:sz w:val="24"/>
          <w:szCs w:val="24"/>
        </w:rPr>
        <w:t>P – použitie; cca 2000 m</w:t>
      </w:r>
      <w:r w:rsidRPr="006B62F4">
        <w:rPr>
          <w:rFonts w:ascii="Times New Roman" w:hAnsi="Times New Roman"/>
          <w:w w:val="100"/>
          <w:sz w:val="24"/>
          <w:szCs w:val="24"/>
          <w:vertAlign w:val="superscript"/>
        </w:rPr>
        <w:t>3</w:t>
      </w:r>
      <w:r w:rsidRPr="006B62F4">
        <w:rPr>
          <w:rFonts w:ascii="Times New Roman" w:hAnsi="Times New Roman"/>
          <w:w w:val="100"/>
          <w:sz w:val="24"/>
          <w:szCs w:val="24"/>
        </w:rPr>
        <w:t xml:space="preserve"> nekontaminovanej výkopovej zeminy sa použije na spätné zásypy </w:t>
      </w:r>
    </w:p>
    <w:p w:rsidR="00AA7E1A" w:rsidRPr="00CE49F4" w:rsidRDefault="00AA7E1A" w:rsidP="00AA7E1A">
      <w:pPr>
        <w:pStyle w:val="odst2"/>
        <w:ind w:left="0"/>
        <w:rPr>
          <w:rFonts w:ascii="Times New Roman" w:hAnsi="Times New Roman"/>
          <w:w w:val="100"/>
          <w:sz w:val="24"/>
          <w:szCs w:val="24"/>
        </w:rPr>
      </w:pPr>
      <w:r w:rsidRPr="00CE49F4">
        <w:rPr>
          <w:rFonts w:ascii="Times New Roman" w:hAnsi="Times New Roman"/>
          <w:w w:val="100"/>
          <w:sz w:val="24"/>
          <w:szCs w:val="24"/>
        </w:rPr>
        <w:t>S – odpady sa zneškodnia subdodávateľsky, čo znamená, že dodávateľ stavebných prác a prevádzkovateľ ako pôvodcovia odpadu sa budú riadiť ustanoveniami § 19 ods. 1 písm. g) zákona  o odpadoch a odpady odovzdajú len takým fyzickým osobám alebo firmám resp. organizáciám, ktoré vlastnia platné oprávnenie na nakladanie s uvedenými druhmi odpadov a súhlas na prevádzkovanie zariadení na ich zhodnotenie alebo zneškodňovanie podľa ustanovení § 7 vyššie citovaného zákona.</w:t>
      </w:r>
    </w:p>
    <w:p w:rsidR="00AA7E1A" w:rsidRDefault="00AA7E1A" w:rsidP="00AA7E1A">
      <w:pPr>
        <w:pStyle w:val="odst2"/>
        <w:ind w:left="0"/>
        <w:rPr>
          <w:rFonts w:ascii="Times New Roman" w:hAnsi="Times New Roman"/>
          <w:w w:val="100"/>
          <w:sz w:val="24"/>
          <w:szCs w:val="24"/>
        </w:rPr>
      </w:pPr>
    </w:p>
    <w:p w:rsidR="00AA7E1A" w:rsidRPr="00CE49F4" w:rsidRDefault="00AA7E1A" w:rsidP="00AA7E1A">
      <w:pPr>
        <w:pStyle w:val="odst2"/>
        <w:ind w:left="0"/>
        <w:rPr>
          <w:rFonts w:ascii="Times New Roman" w:hAnsi="Times New Roman"/>
          <w:w w:val="100"/>
          <w:sz w:val="24"/>
          <w:szCs w:val="24"/>
        </w:rPr>
      </w:pPr>
      <w:r w:rsidRPr="00CE49F4">
        <w:rPr>
          <w:rFonts w:ascii="Times New Roman" w:hAnsi="Times New Roman"/>
          <w:w w:val="100"/>
          <w:sz w:val="24"/>
          <w:szCs w:val="24"/>
        </w:rPr>
        <w:t>S odpadmi sa bude nakladať nasledovne:</w:t>
      </w:r>
    </w:p>
    <w:p w:rsidR="00AA7E1A" w:rsidRDefault="00AA7E1A" w:rsidP="00AA7E1A">
      <w:pPr>
        <w:pStyle w:val="odst2"/>
        <w:numPr>
          <w:ilvl w:val="0"/>
          <w:numId w:val="17"/>
        </w:numPr>
        <w:ind w:left="284" w:hanging="284"/>
        <w:rPr>
          <w:rFonts w:ascii="Times New Roman" w:hAnsi="Times New Roman"/>
          <w:w w:val="100"/>
          <w:sz w:val="24"/>
          <w:szCs w:val="24"/>
        </w:rPr>
      </w:pPr>
      <w:r w:rsidRPr="00533872">
        <w:rPr>
          <w:rFonts w:ascii="Times New Roman" w:hAnsi="Times New Roman"/>
          <w:w w:val="100"/>
          <w:sz w:val="24"/>
          <w:szCs w:val="24"/>
        </w:rPr>
        <w:t>odpad kat. č. 06 13 02 N, ktorý bude vznikať v prevádzke z náplní filtrov, roztoku a</w:t>
      </w:r>
      <w:r>
        <w:rPr>
          <w:rFonts w:ascii="Times New Roman" w:hAnsi="Times New Roman"/>
          <w:w w:val="100"/>
          <w:sz w:val="24"/>
          <w:szCs w:val="24"/>
        </w:rPr>
        <w:t> </w:t>
      </w:r>
      <w:r w:rsidRPr="00533872">
        <w:rPr>
          <w:rFonts w:ascii="Times New Roman" w:hAnsi="Times New Roman"/>
          <w:w w:val="100"/>
          <w:sz w:val="24"/>
          <w:szCs w:val="24"/>
        </w:rPr>
        <w:t>z</w:t>
      </w:r>
      <w:r>
        <w:rPr>
          <w:rFonts w:ascii="Times New Roman" w:hAnsi="Times New Roman"/>
          <w:w w:val="100"/>
          <w:sz w:val="24"/>
          <w:szCs w:val="24"/>
        </w:rPr>
        <w:t> </w:t>
      </w:r>
      <w:r w:rsidRPr="00533872">
        <w:rPr>
          <w:rFonts w:ascii="Times New Roman" w:hAnsi="Times New Roman"/>
          <w:w w:val="100"/>
          <w:sz w:val="24"/>
          <w:szCs w:val="24"/>
        </w:rPr>
        <w:t>odolejovacieho zariadenia syntézneho kompresora</w:t>
      </w:r>
      <w:r>
        <w:rPr>
          <w:rFonts w:ascii="Times New Roman" w:hAnsi="Times New Roman"/>
          <w:w w:val="100"/>
          <w:sz w:val="24"/>
          <w:szCs w:val="24"/>
        </w:rPr>
        <w:t>,</w:t>
      </w:r>
      <w:r w:rsidRPr="00533872">
        <w:rPr>
          <w:rFonts w:ascii="Times New Roman" w:hAnsi="Times New Roman"/>
          <w:w w:val="100"/>
          <w:sz w:val="24"/>
          <w:szCs w:val="24"/>
        </w:rPr>
        <w:t xml:space="preserve"> sa bude zhromažďovať v mieste jeho </w:t>
      </w:r>
      <w:r w:rsidRPr="00533872">
        <w:rPr>
          <w:rFonts w:ascii="Times New Roman" w:hAnsi="Times New Roman"/>
          <w:w w:val="100"/>
          <w:sz w:val="24"/>
          <w:szCs w:val="24"/>
        </w:rPr>
        <w:lastRenderedPageBreak/>
        <w:t>vzniku a následne v kontajneri na spáliteľný odpad, ktorý bude umiestnený v</w:t>
      </w:r>
      <w:r>
        <w:rPr>
          <w:rFonts w:ascii="Times New Roman" w:hAnsi="Times New Roman"/>
          <w:w w:val="100"/>
          <w:sz w:val="24"/>
          <w:szCs w:val="24"/>
        </w:rPr>
        <w:t> </w:t>
      </w:r>
      <w:r w:rsidRPr="00533872">
        <w:rPr>
          <w:rFonts w:ascii="Times New Roman" w:hAnsi="Times New Roman"/>
          <w:w w:val="100"/>
          <w:sz w:val="24"/>
          <w:szCs w:val="24"/>
        </w:rPr>
        <w:t>objekte</w:t>
      </w:r>
      <w:r>
        <w:rPr>
          <w:rFonts w:ascii="Times New Roman" w:hAnsi="Times New Roman"/>
          <w:w w:val="100"/>
          <w:sz w:val="24"/>
          <w:szCs w:val="24"/>
        </w:rPr>
        <w:t xml:space="preserve"> prevádzky</w:t>
      </w:r>
      <w:r w:rsidRPr="00533872">
        <w:rPr>
          <w:rFonts w:ascii="Times New Roman" w:hAnsi="Times New Roman"/>
          <w:w w:val="100"/>
          <w:sz w:val="24"/>
          <w:szCs w:val="24"/>
        </w:rPr>
        <w:t xml:space="preserve"> </w:t>
      </w:r>
    </w:p>
    <w:p w:rsidR="00AA7E1A" w:rsidRPr="00533872" w:rsidRDefault="00AA7E1A" w:rsidP="00AA7E1A">
      <w:pPr>
        <w:pStyle w:val="odst2"/>
        <w:numPr>
          <w:ilvl w:val="0"/>
          <w:numId w:val="17"/>
        </w:numPr>
        <w:ind w:left="284"/>
        <w:rPr>
          <w:rFonts w:ascii="Times New Roman" w:hAnsi="Times New Roman"/>
          <w:w w:val="100"/>
          <w:sz w:val="24"/>
          <w:szCs w:val="24"/>
        </w:rPr>
      </w:pPr>
      <w:r>
        <w:rPr>
          <w:rFonts w:ascii="Times New Roman" w:hAnsi="Times New Roman"/>
          <w:w w:val="100"/>
          <w:sz w:val="24"/>
          <w:szCs w:val="24"/>
        </w:rPr>
        <w:t>o</w:t>
      </w:r>
      <w:r w:rsidRPr="00533872">
        <w:rPr>
          <w:rFonts w:ascii="Times New Roman" w:hAnsi="Times New Roman"/>
          <w:w w:val="100"/>
          <w:sz w:val="24"/>
          <w:szCs w:val="24"/>
        </w:rPr>
        <w:t>dpad k</w:t>
      </w:r>
      <w:r>
        <w:rPr>
          <w:rFonts w:ascii="Times New Roman" w:hAnsi="Times New Roman"/>
          <w:w w:val="100"/>
          <w:sz w:val="24"/>
          <w:szCs w:val="24"/>
        </w:rPr>
        <w:t>at</w:t>
      </w:r>
      <w:r w:rsidRPr="00533872">
        <w:rPr>
          <w:rFonts w:ascii="Times New Roman" w:hAnsi="Times New Roman"/>
          <w:w w:val="100"/>
          <w:sz w:val="24"/>
          <w:szCs w:val="24"/>
        </w:rPr>
        <w:t>. č.</w:t>
      </w:r>
      <w:r>
        <w:rPr>
          <w:rFonts w:ascii="Times New Roman" w:hAnsi="Times New Roman"/>
          <w:w w:val="100"/>
          <w:sz w:val="24"/>
          <w:szCs w:val="24"/>
        </w:rPr>
        <w:t xml:space="preserve"> </w:t>
      </w:r>
      <w:r w:rsidRPr="00533872">
        <w:rPr>
          <w:rFonts w:ascii="Times New Roman" w:hAnsi="Times New Roman"/>
          <w:w w:val="100"/>
          <w:sz w:val="24"/>
          <w:szCs w:val="24"/>
        </w:rPr>
        <w:t>15 01 10</w:t>
      </w:r>
      <w:r>
        <w:rPr>
          <w:rFonts w:ascii="Times New Roman" w:hAnsi="Times New Roman"/>
          <w:w w:val="100"/>
          <w:sz w:val="24"/>
          <w:szCs w:val="24"/>
        </w:rPr>
        <w:t xml:space="preserve"> N</w:t>
      </w:r>
      <w:r w:rsidRPr="00533872">
        <w:rPr>
          <w:rFonts w:ascii="Times New Roman" w:hAnsi="Times New Roman"/>
          <w:w w:val="100"/>
          <w:sz w:val="24"/>
          <w:szCs w:val="24"/>
        </w:rPr>
        <w:t>, ktorý bude vznikať v existujúcich skladoch pri znečistení obalov, sa bude zhromažďovať v miestach jeho vzniku a následne v kontajneri na spáliteľný odpad v objekte č. 42-27.</w:t>
      </w:r>
    </w:p>
    <w:p w:rsidR="00AA7E1A" w:rsidRPr="00CE49F4" w:rsidRDefault="00AA7E1A" w:rsidP="00AA7E1A">
      <w:pPr>
        <w:pStyle w:val="odst2"/>
        <w:numPr>
          <w:ilvl w:val="0"/>
          <w:numId w:val="17"/>
        </w:numPr>
        <w:ind w:left="284" w:hanging="284"/>
        <w:rPr>
          <w:rFonts w:ascii="Times New Roman" w:hAnsi="Times New Roman"/>
          <w:w w:val="100"/>
          <w:sz w:val="24"/>
          <w:szCs w:val="24"/>
        </w:rPr>
      </w:pPr>
      <w:r>
        <w:rPr>
          <w:rFonts w:ascii="Times New Roman" w:hAnsi="Times New Roman"/>
          <w:w w:val="100"/>
          <w:sz w:val="24"/>
          <w:szCs w:val="24"/>
        </w:rPr>
        <w:t>o</w:t>
      </w:r>
      <w:r w:rsidRPr="00CE49F4">
        <w:rPr>
          <w:rFonts w:ascii="Times New Roman" w:hAnsi="Times New Roman"/>
          <w:w w:val="100"/>
          <w:sz w:val="24"/>
          <w:szCs w:val="24"/>
        </w:rPr>
        <w:t>dpad k</w:t>
      </w:r>
      <w:r>
        <w:rPr>
          <w:rFonts w:ascii="Times New Roman" w:hAnsi="Times New Roman"/>
          <w:w w:val="100"/>
          <w:sz w:val="24"/>
          <w:szCs w:val="24"/>
        </w:rPr>
        <w:t>at</w:t>
      </w:r>
      <w:r w:rsidRPr="00CE49F4">
        <w:rPr>
          <w:rFonts w:ascii="Times New Roman" w:hAnsi="Times New Roman"/>
          <w:w w:val="100"/>
          <w:sz w:val="24"/>
          <w:szCs w:val="24"/>
        </w:rPr>
        <w:t>. č. 15 02 02</w:t>
      </w:r>
      <w:r>
        <w:rPr>
          <w:rFonts w:ascii="Times New Roman" w:hAnsi="Times New Roman"/>
          <w:w w:val="100"/>
          <w:sz w:val="24"/>
          <w:szCs w:val="24"/>
        </w:rPr>
        <w:t xml:space="preserve"> N</w:t>
      </w:r>
      <w:r w:rsidRPr="00CE49F4">
        <w:rPr>
          <w:rFonts w:ascii="Times New Roman" w:hAnsi="Times New Roman"/>
          <w:w w:val="100"/>
          <w:sz w:val="24"/>
          <w:szCs w:val="24"/>
        </w:rPr>
        <w:t>, ktorý bude vznikať v prevádzke pri opravách a údržbárskych prácach a odpad k</w:t>
      </w:r>
      <w:r>
        <w:rPr>
          <w:rFonts w:ascii="Times New Roman" w:hAnsi="Times New Roman"/>
          <w:w w:val="100"/>
          <w:sz w:val="24"/>
          <w:szCs w:val="24"/>
        </w:rPr>
        <w:t>at</w:t>
      </w:r>
      <w:r w:rsidRPr="00CE49F4">
        <w:rPr>
          <w:rFonts w:ascii="Times New Roman" w:hAnsi="Times New Roman"/>
          <w:w w:val="100"/>
          <w:sz w:val="24"/>
          <w:szCs w:val="24"/>
        </w:rPr>
        <w:t>. č. 08 01 11</w:t>
      </w:r>
      <w:r>
        <w:rPr>
          <w:rFonts w:ascii="Times New Roman" w:hAnsi="Times New Roman"/>
          <w:w w:val="100"/>
          <w:sz w:val="24"/>
          <w:szCs w:val="24"/>
        </w:rPr>
        <w:t xml:space="preserve"> N</w:t>
      </w:r>
      <w:r w:rsidRPr="00CE49F4">
        <w:rPr>
          <w:rFonts w:ascii="Times New Roman" w:hAnsi="Times New Roman"/>
          <w:w w:val="100"/>
          <w:sz w:val="24"/>
          <w:szCs w:val="24"/>
        </w:rPr>
        <w:t xml:space="preserve">, ktorý bude vznikať pri opravách náterov, sa budú zhromažďovať v miestach </w:t>
      </w:r>
      <w:r>
        <w:rPr>
          <w:rFonts w:ascii="Times New Roman" w:hAnsi="Times New Roman"/>
          <w:w w:val="100"/>
          <w:sz w:val="24"/>
          <w:szCs w:val="24"/>
        </w:rPr>
        <w:t>ich</w:t>
      </w:r>
      <w:r w:rsidRPr="00CE49F4">
        <w:rPr>
          <w:rFonts w:ascii="Times New Roman" w:hAnsi="Times New Roman"/>
          <w:w w:val="100"/>
          <w:sz w:val="24"/>
          <w:szCs w:val="24"/>
        </w:rPr>
        <w:t xml:space="preserve"> vzniku a následne v kontajneri na spáliteľný odpad v</w:t>
      </w:r>
      <w:r>
        <w:rPr>
          <w:rFonts w:ascii="Times New Roman" w:hAnsi="Times New Roman"/>
          <w:w w:val="100"/>
          <w:sz w:val="24"/>
          <w:szCs w:val="24"/>
        </w:rPr>
        <w:t> </w:t>
      </w:r>
      <w:r w:rsidRPr="00CE49F4">
        <w:rPr>
          <w:rFonts w:ascii="Times New Roman" w:hAnsi="Times New Roman"/>
          <w:w w:val="100"/>
          <w:sz w:val="24"/>
          <w:szCs w:val="24"/>
        </w:rPr>
        <w:t>objekte</w:t>
      </w:r>
      <w:r>
        <w:rPr>
          <w:rFonts w:ascii="Times New Roman" w:hAnsi="Times New Roman"/>
          <w:w w:val="100"/>
          <w:sz w:val="24"/>
          <w:szCs w:val="24"/>
        </w:rPr>
        <w:t xml:space="preserve"> prevádzky</w:t>
      </w:r>
    </w:p>
    <w:p w:rsidR="00AA7E1A" w:rsidRPr="00CE49F4" w:rsidRDefault="00AA7E1A" w:rsidP="00AA7E1A">
      <w:pPr>
        <w:pStyle w:val="odst2"/>
        <w:numPr>
          <w:ilvl w:val="0"/>
          <w:numId w:val="17"/>
        </w:numPr>
        <w:ind w:left="284" w:hanging="284"/>
        <w:rPr>
          <w:rFonts w:ascii="Times New Roman" w:hAnsi="Times New Roman"/>
          <w:w w:val="100"/>
          <w:sz w:val="24"/>
          <w:szCs w:val="24"/>
        </w:rPr>
      </w:pPr>
      <w:r>
        <w:rPr>
          <w:rFonts w:ascii="Times New Roman" w:hAnsi="Times New Roman"/>
          <w:w w:val="100"/>
          <w:sz w:val="24"/>
          <w:szCs w:val="24"/>
        </w:rPr>
        <w:t>o</w:t>
      </w:r>
      <w:r w:rsidRPr="00CE49F4">
        <w:rPr>
          <w:rFonts w:ascii="Times New Roman" w:hAnsi="Times New Roman"/>
          <w:w w:val="100"/>
          <w:sz w:val="24"/>
          <w:szCs w:val="24"/>
        </w:rPr>
        <w:t>dpady k</w:t>
      </w:r>
      <w:r>
        <w:rPr>
          <w:rFonts w:ascii="Times New Roman" w:hAnsi="Times New Roman"/>
          <w:w w:val="100"/>
          <w:sz w:val="24"/>
          <w:szCs w:val="24"/>
        </w:rPr>
        <w:t>at</w:t>
      </w:r>
      <w:r w:rsidRPr="00CE49F4">
        <w:rPr>
          <w:rFonts w:ascii="Times New Roman" w:hAnsi="Times New Roman"/>
          <w:w w:val="100"/>
          <w:sz w:val="24"/>
          <w:szCs w:val="24"/>
        </w:rPr>
        <w:t xml:space="preserve">. č. </w:t>
      </w:r>
      <w:r w:rsidRPr="006A4302">
        <w:rPr>
          <w:rFonts w:ascii="Times New Roman" w:hAnsi="Times New Roman"/>
          <w:w w:val="100"/>
          <w:sz w:val="24"/>
          <w:szCs w:val="24"/>
        </w:rPr>
        <w:t xml:space="preserve">16 02 13 N </w:t>
      </w:r>
      <w:r w:rsidRPr="00CE49F4">
        <w:rPr>
          <w:rFonts w:ascii="Times New Roman" w:hAnsi="Times New Roman"/>
          <w:w w:val="100"/>
          <w:sz w:val="24"/>
          <w:szCs w:val="24"/>
        </w:rPr>
        <w:t>a k</w:t>
      </w:r>
      <w:r>
        <w:rPr>
          <w:rFonts w:ascii="Times New Roman" w:hAnsi="Times New Roman"/>
          <w:w w:val="100"/>
          <w:sz w:val="24"/>
          <w:szCs w:val="24"/>
        </w:rPr>
        <w:t>at</w:t>
      </w:r>
      <w:r w:rsidRPr="00CE49F4">
        <w:rPr>
          <w:rFonts w:ascii="Times New Roman" w:hAnsi="Times New Roman"/>
          <w:w w:val="100"/>
          <w:sz w:val="24"/>
          <w:szCs w:val="24"/>
        </w:rPr>
        <w:t>. č. 16 06 01</w:t>
      </w:r>
      <w:r>
        <w:rPr>
          <w:rFonts w:ascii="Times New Roman" w:hAnsi="Times New Roman"/>
          <w:w w:val="100"/>
          <w:sz w:val="24"/>
          <w:szCs w:val="24"/>
        </w:rPr>
        <w:t xml:space="preserve"> N</w:t>
      </w:r>
      <w:r w:rsidRPr="00CE49F4">
        <w:rPr>
          <w:rFonts w:ascii="Times New Roman" w:hAnsi="Times New Roman"/>
          <w:w w:val="100"/>
          <w:sz w:val="24"/>
          <w:szCs w:val="24"/>
        </w:rPr>
        <w:t>, ktoré budú vznikať vo výrobných priestoroch prevádzky pri výmenách, musí z prevádzky bezprostredne po ich vzniku odobrať osoba, oprávnená nakladať s odpadmi podľa všeobecne záväzných právnych predpisov odpadového hospodárstva.</w:t>
      </w:r>
    </w:p>
    <w:p w:rsidR="00AA7E1A" w:rsidRPr="00CE49F4" w:rsidRDefault="00AA7E1A" w:rsidP="00AA7E1A">
      <w:pPr>
        <w:pStyle w:val="odst2"/>
        <w:numPr>
          <w:ilvl w:val="0"/>
          <w:numId w:val="17"/>
        </w:numPr>
        <w:ind w:left="284" w:hanging="284"/>
        <w:rPr>
          <w:rFonts w:ascii="Times New Roman" w:hAnsi="Times New Roman"/>
          <w:w w:val="100"/>
          <w:sz w:val="24"/>
          <w:szCs w:val="24"/>
        </w:rPr>
      </w:pPr>
      <w:r>
        <w:rPr>
          <w:rFonts w:ascii="Times New Roman" w:hAnsi="Times New Roman"/>
          <w:w w:val="100"/>
          <w:sz w:val="24"/>
          <w:szCs w:val="24"/>
        </w:rPr>
        <w:t>o</w:t>
      </w:r>
      <w:r w:rsidRPr="00CE49F4">
        <w:rPr>
          <w:rFonts w:ascii="Times New Roman" w:hAnsi="Times New Roman"/>
          <w:w w:val="100"/>
          <w:sz w:val="24"/>
          <w:szCs w:val="24"/>
        </w:rPr>
        <w:t>dpady k. č. 16 08 07</w:t>
      </w:r>
      <w:r>
        <w:rPr>
          <w:rFonts w:ascii="Times New Roman" w:hAnsi="Times New Roman"/>
          <w:w w:val="100"/>
          <w:sz w:val="24"/>
          <w:szCs w:val="24"/>
        </w:rPr>
        <w:t xml:space="preserve"> N</w:t>
      </w:r>
      <w:r w:rsidRPr="00CE49F4">
        <w:rPr>
          <w:rFonts w:ascii="Times New Roman" w:hAnsi="Times New Roman"/>
          <w:w w:val="100"/>
          <w:sz w:val="24"/>
          <w:szCs w:val="24"/>
        </w:rPr>
        <w:t>, ktoré budú vznikať pri odsírení v absorbér</w:t>
      </w:r>
      <w:r>
        <w:rPr>
          <w:rFonts w:ascii="Times New Roman" w:hAnsi="Times New Roman"/>
          <w:w w:val="100"/>
          <w:sz w:val="24"/>
          <w:szCs w:val="24"/>
        </w:rPr>
        <w:t>y</w:t>
      </w:r>
      <w:r w:rsidRPr="00CE49F4">
        <w:rPr>
          <w:rFonts w:ascii="Times New Roman" w:hAnsi="Times New Roman"/>
          <w:w w:val="100"/>
          <w:sz w:val="24"/>
          <w:szCs w:val="24"/>
        </w:rPr>
        <w:t xml:space="preserve"> síry, v primárnom a sekundárnom reformingu, VTK, NTK,</w:t>
      </w:r>
      <w:r>
        <w:rPr>
          <w:rFonts w:ascii="Times New Roman" w:hAnsi="Times New Roman"/>
          <w:w w:val="100"/>
          <w:sz w:val="24"/>
          <w:szCs w:val="24"/>
        </w:rPr>
        <w:t xml:space="preserve"> v</w:t>
      </w:r>
      <w:r w:rsidRPr="00CE49F4">
        <w:rPr>
          <w:rFonts w:ascii="Times New Roman" w:hAnsi="Times New Roman"/>
          <w:w w:val="100"/>
          <w:sz w:val="24"/>
          <w:szCs w:val="24"/>
        </w:rPr>
        <w:t xml:space="preserve"> metanizátore a</w:t>
      </w:r>
      <w:r>
        <w:rPr>
          <w:rFonts w:ascii="Times New Roman" w:hAnsi="Times New Roman"/>
          <w:w w:val="100"/>
          <w:sz w:val="24"/>
          <w:szCs w:val="24"/>
        </w:rPr>
        <w:t xml:space="preserve"> v </w:t>
      </w:r>
      <w:r w:rsidRPr="00CE49F4">
        <w:rPr>
          <w:rFonts w:ascii="Times New Roman" w:hAnsi="Times New Roman"/>
          <w:w w:val="100"/>
          <w:sz w:val="24"/>
          <w:szCs w:val="24"/>
        </w:rPr>
        <w:t>syntéznych reaktoroch č. 1 a č. 2 sa budú zhromažďovať v miestach ich vzniku vo výrobných priestoroch prevádzky</w:t>
      </w:r>
      <w:r>
        <w:rPr>
          <w:rFonts w:ascii="Times New Roman" w:hAnsi="Times New Roman"/>
          <w:w w:val="100"/>
          <w:sz w:val="24"/>
          <w:szCs w:val="24"/>
        </w:rPr>
        <w:t>;</w:t>
      </w:r>
      <w:r w:rsidRPr="00CE49F4">
        <w:rPr>
          <w:rFonts w:ascii="Times New Roman" w:hAnsi="Times New Roman"/>
          <w:w w:val="100"/>
          <w:sz w:val="24"/>
          <w:szCs w:val="24"/>
        </w:rPr>
        <w:t xml:space="preserve"> bezprostredne po ich vzniku</w:t>
      </w:r>
      <w:r>
        <w:rPr>
          <w:rFonts w:ascii="Times New Roman" w:hAnsi="Times New Roman"/>
          <w:w w:val="100"/>
          <w:sz w:val="24"/>
          <w:szCs w:val="24"/>
        </w:rPr>
        <w:t xml:space="preserve"> ich musí z prevádzky</w:t>
      </w:r>
      <w:r w:rsidRPr="00CE49F4">
        <w:rPr>
          <w:rFonts w:ascii="Times New Roman" w:hAnsi="Times New Roman"/>
          <w:w w:val="100"/>
          <w:sz w:val="24"/>
          <w:szCs w:val="24"/>
        </w:rPr>
        <w:t xml:space="preserve"> odobrať osoba, oprávnená nakladať s</w:t>
      </w:r>
      <w:r>
        <w:rPr>
          <w:rFonts w:ascii="Times New Roman" w:hAnsi="Times New Roman"/>
          <w:w w:val="100"/>
          <w:sz w:val="24"/>
          <w:szCs w:val="24"/>
        </w:rPr>
        <w:t> </w:t>
      </w:r>
      <w:r w:rsidRPr="00CE49F4">
        <w:rPr>
          <w:rFonts w:ascii="Times New Roman" w:hAnsi="Times New Roman"/>
          <w:w w:val="100"/>
          <w:sz w:val="24"/>
          <w:szCs w:val="24"/>
        </w:rPr>
        <w:t>odpadmi podľa všeobecne záväzných právnych predpisov odpadového hospodárstva.</w:t>
      </w:r>
    </w:p>
    <w:p w:rsidR="00967A5D" w:rsidRDefault="00967A5D" w:rsidP="00AA7E1A">
      <w:pPr>
        <w:jc w:val="both"/>
      </w:pPr>
    </w:p>
    <w:p w:rsidR="000F69A8" w:rsidRPr="00967A5D" w:rsidRDefault="000F69A8" w:rsidP="000F69A8">
      <w:pPr>
        <w:pStyle w:val="odst2"/>
        <w:ind w:left="0"/>
        <w:rPr>
          <w:rFonts w:ascii="Times New Roman" w:hAnsi="Times New Roman"/>
          <w:w w:val="100"/>
          <w:sz w:val="24"/>
          <w:szCs w:val="24"/>
        </w:rPr>
      </w:pPr>
    </w:p>
    <w:p w:rsidR="00B301E6" w:rsidRDefault="00B301E6" w:rsidP="00B301E6">
      <w:pPr>
        <w:jc w:val="both"/>
        <w:rPr>
          <w:i/>
        </w:rPr>
      </w:pPr>
      <w:r>
        <w:rPr>
          <w:i/>
        </w:rPr>
        <w:t>o</w:t>
      </w:r>
      <w:r w:rsidRPr="00F12567">
        <w:rPr>
          <w:i/>
        </w:rPr>
        <w:t>dpady vznikajúce pri údržbe a oprave zariadení</w:t>
      </w:r>
      <w:r>
        <w:rPr>
          <w:i/>
        </w:rPr>
        <w:t>:</w:t>
      </w:r>
    </w:p>
    <w:p w:rsidR="00B301E6" w:rsidRPr="00F12567" w:rsidRDefault="00B301E6" w:rsidP="00B301E6">
      <w:pPr>
        <w:jc w:val="both"/>
        <w:rPr>
          <w:i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394"/>
        <w:gridCol w:w="1134"/>
        <w:gridCol w:w="1418"/>
        <w:gridCol w:w="1276"/>
      </w:tblGrid>
      <w:tr w:rsidR="00B301E6" w:rsidRPr="00A35CC6" w:rsidTr="00B301E6">
        <w:trPr>
          <w:tblHeader/>
        </w:trPr>
        <w:tc>
          <w:tcPr>
            <w:tcW w:w="127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bCs/>
                <w:sz w:val="20"/>
              </w:rPr>
            </w:pPr>
            <w:r w:rsidRPr="00A35CC6">
              <w:rPr>
                <w:rFonts w:cs="Arial"/>
                <w:bCs/>
                <w:sz w:val="20"/>
              </w:rPr>
              <w:t>katalóg. č. odpadu</w:t>
            </w:r>
          </w:p>
        </w:tc>
        <w:tc>
          <w:tcPr>
            <w:tcW w:w="439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bCs/>
                <w:sz w:val="20"/>
              </w:rPr>
            </w:pPr>
            <w:r w:rsidRPr="00A35CC6">
              <w:rPr>
                <w:rFonts w:cs="Arial"/>
                <w:bCs/>
                <w:sz w:val="20"/>
              </w:rPr>
              <w:t>názov odpadu</w:t>
            </w:r>
          </w:p>
        </w:tc>
        <w:tc>
          <w:tcPr>
            <w:tcW w:w="1134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bCs/>
                <w:sz w:val="20"/>
              </w:rPr>
            </w:pPr>
            <w:r w:rsidRPr="00A35CC6">
              <w:rPr>
                <w:rFonts w:cs="Arial"/>
                <w:bCs/>
                <w:sz w:val="20"/>
              </w:rPr>
              <w:t>kategória</w:t>
            </w:r>
          </w:p>
          <w:p w:rsidR="00B301E6" w:rsidRPr="00A35CC6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bCs/>
                <w:sz w:val="20"/>
              </w:rPr>
            </w:pPr>
            <w:r w:rsidRPr="00A35CC6">
              <w:rPr>
                <w:rFonts w:cs="Arial"/>
                <w:bCs/>
                <w:sz w:val="20"/>
              </w:rPr>
              <w:t>odpadu</w:t>
            </w:r>
          </w:p>
        </w:tc>
        <w:tc>
          <w:tcPr>
            <w:tcW w:w="141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pStyle w:val="Normln"/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noProof w:val="0"/>
              </w:rPr>
            </w:pPr>
            <w:r w:rsidRPr="00A35CC6">
              <w:rPr>
                <w:rFonts w:ascii="Times New Roman" w:hAnsi="Times New Roman"/>
                <w:bCs/>
                <w:noProof w:val="0"/>
              </w:rPr>
              <w:t>predpokladané množstvo [ t ]</w:t>
            </w:r>
          </w:p>
        </w:tc>
        <w:tc>
          <w:tcPr>
            <w:tcW w:w="127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B301E6" w:rsidRPr="00A35CC6" w:rsidRDefault="00B301E6" w:rsidP="00B301E6">
            <w:pPr>
              <w:pStyle w:val="Normln"/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noProof w:val="0"/>
              </w:rPr>
            </w:pPr>
          </w:p>
          <w:p w:rsidR="00B301E6" w:rsidRPr="00A35CC6" w:rsidRDefault="00B301E6" w:rsidP="00B301E6">
            <w:pPr>
              <w:pStyle w:val="Normln"/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  <w:noProof w:val="0"/>
              </w:rPr>
            </w:pPr>
            <w:r w:rsidRPr="00A35CC6">
              <w:rPr>
                <w:rFonts w:ascii="Times New Roman" w:hAnsi="Times New Roman"/>
                <w:bCs/>
                <w:noProof w:val="0"/>
              </w:rPr>
              <w:t>kód nakladania</w:t>
            </w:r>
          </w:p>
          <w:p w:rsidR="00B301E6" w:rsidRPr="00A35CC6" w:rsidRDefault="00B301E6" w:rsidP="00B301E6">
            <w:pPr>
              <w:pStyle w:val="Normln"/>
              <w:widowControl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  <w:noProof w:val="0"/>
              </w:rPr>
            </w:pPr>
            <w:r w:rsidRPr="00A35CC6">
              <w:rPr>
                <w:rFonts w:ascii="Times New Roman" w:hAnsi="Times New Roman"/>
                <w:bCs/>
                <w:noProof w:val="0"/>
              </w:rPr>
              <w:t>s odpadom</w:t>
            </w:r>
          </w:p>
        </w:tc>
      </w:tr>
      <w:tr w:rsidR="00B301E6" w:rsidRPr="003B2BA3" w:rsidTr="00B301E6">
        <w:tc>
          <w:tcPr>
            <w:tcW w:w="1276" w:type="dxa"/>
            <w:tcBorders>
              <w:top w:val="thinThickSmallGap" w:sz="24" w:space="0" w:color="auto"/>
            </w:tcBorders>
          </w:tcPr>
          <w:p w:rsidR="00B301E6" w:rsidRPr="003B2BA3" w:rsidRDefault="00B301E6" w:rsidP="00B301E6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3B2BA3">
              <w:rPr>
                <w:rFonts w:cs="Arial"/>
                <w:sz w:val="20"/>
              </w:rPr>
              <w:t>13 02 05</w:t>
            </w:r>
          </w:p>
        </w:tc>
        <w:tc>
          <w:tcPr>
            <w:tcW w:w="4394" w:type="dxa"/>
            <w:tcBorders>
              <w:top w:val="thinThickSmallGap" w:sz="24" w:space="0" w:color="auto"/>
            </w:tcBorders>
          </w:tcPr>
          <w:p w:rsidR="00B301E6" w:rsidRPr="003B2BA3" w:rsidRDefault="00B301E6" w:rsidP="00B301E6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3B2BA3">
              <w:rPr>
                <w:rFonts w:cs="Arial"/>
                <w:sz w:val="20"/>
              </w:rPr>
              <w:t>nechlórované minerálne motorové, prevodové a mazacie oleje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B301E6" w:rsidRPr="003B2BA3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3B2BA3">
              <w:rPr>
                <w:rFonts w:cs="Arial"/>
                <w:sz w:val="20"/>
              </w:rPr>
              <w:t>N</w:t>
            </w: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B301E6" w:rsidRPr="003B2BA3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3B2BA3">
              <w:rPr>
                <w:rFonts w:cs="Arial"/>
                <w:sz w:val="20"/>
              </w:rPr>
              <w:t>250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B301E6" w:rsidRPr="000F69A8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0F69A8">
              <w:rPr>
                <w:rFonts w:cs="Arial"/>
                <w:sz w:val="20"/>
              </w:rPr>
              <w:t>S</w:t>
            </w:r>
          </w:p>
        </w:tc>
      </w:tr>
      <w:tr w:rsidR="00B301E6" w:rsidRPr="003B2BA3" w:rsidTr="00B301E6">
        <w:tc>
          <w:tcPr>
            <w:tcW w:w="1276" w:type="dxa"/>
          </w:tcPr>
          <w:p w:rsidR="00B301E6" w:rsidRPr="003B2BA3" w:rsidRDefault="00B301E6" w:rsidP="00B301E6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3B2BA3">
              <w:rPr>
                <w:rFonts w:cs="Arial"/>
                <w:sz w:val="20"/>
              </w:rPr>
              <w:t>13 02 06</w:t>
            </w:r>
          </w:p>
        </w:tc>
        <w:tc>
          <w:tcPr>
            <w:tcW w:w="4394" w:type="dxa"/>
          </w:tcPr>
          <w:p w:rsidR="00B301E6" w:rsidRPr="003B2BA3" w:rsidRDefault="00B301E6" w:rsidP="00B301E6">
            <w:pPr>
              <w:numPr>
                <w:ilvl w:val="12"/>
                <w:numId w:val="0"/>
              </w:numPr>
              <w:jc w:val="both"/>
              <w:rPr>
                <w:rFonts w:cs="Arial"/>
                <w:sz w:val="20"/>
              </w:rPr>
            </w:pPr>
            <w:r w:rsidRPr="003B2BA3">
              <w:rPr>
                <w:rFonts w:cs="Arial"/>
                <w:sz w:val="20"/>
              </w:rPr>
              <w:t>syntetické motorové, prevodové a mazacie oleje</w:t>
            </w:r>
          </w:p>
        </w:tc>
        <w:tc>
          <w:tcPr>
            <w:tcW w:w="1134" w:type="dxa"/>
          </w:tcPr>
          <w:p w:rsidR="00B301E6" w:rsidRPr="003B2BA3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3B2BA3">
              <w:rPr>
                <w:rFonts w:cs="Arial"/>
                <w:sz w:val="20"/>
              </w:rPr>
              <w:t>N</w:t>
            </w:r>
          </w:p>
        </w:tc>
        <w:tc>
          <w:tcPr>
            <w:tcW w:w="1418" w:type="dxa"/>
          </w:tcPr>
          <w:p w:rsidR="00B301E6" w:rsidRPr="003B2BA3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3B2BA3">
              <w:rPr>
                <w:rFonts w:cs="Arial"/>
                <w:sz w:val="20"/>
              </w:rPr>
              <w:t>1 000</w:t>
            </w:r>
          </w:p>
        </w:tc>
        <w:tc>
          <w:tcPr>
            <w:tcW w:w="1276" w:type="dxa"/>
          </w:tcPr>
          <w:p w:rsidR="00B301E6" w:rsidRPr="000F69A8" w:rsidRDefault="00B301E6" w:rsidP="00B301E6">
            <w:pPr>
              <w:numPr>
                <w:ilvl w:val="12"/>
                <w:numId w:val="0"/>
              </w:numPr>
              <w:jc w:val="center"/>
              <w:rPr>
                <w:rFonts w:cs="Arial"/>
                <w:sz w:val="20"/>
              </w:rPr>
            </w:pPr>
            <w:r w:rsidRPr="000F69A8">
              <w:rPr>
                <w:rFonts w:cs="Arial"/>
                <w:sz w:val="20"/>
              </w:rPr>
              <w:t>S</w:t>
            </w:r>
          </w:p>
        </w:tc>
      </w:tr>
    </w:tbl>
    <w:p w:rsidR="00B301E6" w:rsidRPr="007A3F46" w:rsidRDefault="00B301E6" w:rsidP="00B301E6">
      <w:pPr>
        <w:jc w:val="both"/>
        <w:rPr>
          <w:u w:val="single"/>
        </w:rPr>
      </w:pPr>
    </w:p>
    <w:p w:rsidR="00B301E6" w:rsidRPr="003B2BA3" w:rsidRDefault="00B301E6" w:rsidP="00B301E6">
      <w:pPr>
        <w:pStyle w:val="odst2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0"/>
          <w:sz w:val="24"/>
          <w:szCs w:val="24"/>
        </w:rPr>
        <w:t>o</w:t>
      </w:r>
      <w:r w:rsidRPr="003B2BA3">
        <w:rPr>
          <w:rFonts w:ascii="Times New Roman" w:hAnsi="Times New Roman"/>
          <w:w w:val="100"/>
          <w:sz w:val="24"/>
          <w:szCs w:val="24"/>
        </w:rPr>
        <w:t>dpady katalógové čísla 13 02 05</w:t>
      </w:r>
      <w:r>
        <w:rPr>
          <w:rFonts w:ascii="Times New Roman" w:hAnsi="Times New Roman"/>
          <w:w w:val="100"/>
          <w:sz w:val="24"/>
          <w:szCs w:val="24"/>
        </w:rPr>
        <w:t xml:space="preserve"> N</w:t>
      </w:r>
      <w:r w:rsidRPr="003B2BA3">
        <w:rPr>
          <w:rFonts w:ascii="Times New Roman" w:hAnsi="Times New Roman"/>
          <w:w w:val="100"/>
          <w:sz w:val="24"/>
          <w:szCs w:val="24"/>
        </w:rPr>
        <w:t xml:space="preserve"> a 13 02 06</w:t>
      </w:r>
      <w:r>
        <w:rPr>
          <w:rFonts w:ascii="Times New Roman" w:hAnsi="Times New Roman"/>
          <w:w w:val="100"/>
          <w:sz w:val="24"/>
          <w:szCs w:val="24"/>
        </w:rPr>
        <w:t xml:space="preserve"> N</w:t>
      </w:r>
      <w:r w:rsidRPr="003B2BA3">
        <w:rPr>
          <w:rFonts w:ascii="Times New Roman" w:hAnsi="Times New Roman"/>
          <w:w w:val="100"/>
          <w:sz w:val="24"/>
          <w:szCs w:val="24"/>
        </w:rPr>
        <w:t>, ktoré budú vznikať v prevádzke pri výmenách olejových náplní strojnotechnologických zariadení</w:t>
      </w:r>
      <w:r>
        <w:rPr>
          <w:rFonts w:ascii="Times New Roman" w:hAnsi="Times New Roman"/>
          <w:w w:val="100"/>
          <w:sz w:val="24"/>
          <w:szCs w:val="24"/>
        </w:rPr>
        <w:t>,</w:t>
      </w:r>
      <w:r w:rsidRPr="003B2BA3">
        <w:rPr>
          <w:rFonts w:ascii="Times New Roman" w:hAnsi="Times New Roman"/>
          <w:w w:val="100"/>
          <w:sz w:val="24"/>
          <w:szCs w:val="24"/>
        </w:rPr>
        <w:t xml:space="preserve"> sa budú zhromažďovať v miestach ich vzniku a následne v zásobníku na odpadový olej, ktorý sa bude nachádzať v</w:t>
      </w:r>
      <w:r>
        <w:rPr>
          <w:rFonts w:ascii="Times New Roman" w:hAnsi="Times New Roman"/>
          <w:w w:val="100"/>
          <w:sz w:val="24"/>
          <w:szCs w:val="24"/>
        </w:rPr>
        <w:t> </w:t>
      </w:r>
      <w:r w:rsidRPr="003B2BA3">
        <w:rPr>
          <w:rFonts w:ascii="Times New Roman" w:hAnsi="Times New Roman"/>
          <w:w w:val="100"/>
          <w:sz w:val="24"/>
          <w:szCs w:val="24"/>
        </w:rPr>
        <w:t>objekte</w:t>
      </w:r>
      <w:r>
        <w:rPr>
          <w:rFonts w:ascii="Times New Roman" w:hAnsi="Times New Roman"/>
          <w:w w:val="100"/>
          <w:sz w:val="24"/>
          <w:szCs w:val="24"/>
        </w:rPr>
        <w:t xml:space="preserve"> prevádzky.</w:t>
      </w:r>
    </w:p>
    <w:p w:rsidR="00B301E6" w:rsidRPr="003B2BA3" w:rsidRDefault="00B301E6" w:rsidP="00B301E6">
      <w:pPr>
        <w:pStyle w:val="odst2"/>
        <w:numPr>
          <w:ilvl w:val="0"/>
          <w:numId w:val="18"/>
        </w:numPr>
        <w:rPr>
          <w:rFonts w:ascii="Times New Roman" w:hAnsi="Times New Roman"/>
          <w:w w:val="100"/>
          <w:sz w:val="24"/>
          <w:szCs w:val="24"/>
        </w:rPr>
      </w:pPr>
      <w:r>
        <w:rPr>
          <w:rFonts w:ascii="Times New Roman" w:hAnsi="Times New Roman"/>
          <w:w w:val="100"/>
          <w:sz w:val="24"/>
          <w:szCs w:val="24"/>
        </w:rPr>
        <w:t>c</w:t>
      </w:r>
      <w:r w:rsidRPr="003B2BA3">
        <w:rPr>
          <w:rFonts w:ascii="Times New Roman" w:hAnsi="Times New Roman"/>
          <w:w w:val="100"/>
          <w:sz w:val="24"/>
          <w:szCs w:val="24"/>
        </w:rPr>
        <w:t>elý objem použitých kompresorových olejov, odseparovaných olejov z kondenzátu aj mazacích olejov, ktoré budú vznikať pri údržbe a oprav</w:t>
      </w:r>
      <w:r>
        <w:rPr>
          <w:rFonts w:ascii="Times New Roman" w:hAnsi="Times New Roman"/>
          <w:w w:val="100"/>
          <w:sz w:val="24"/>
          <w:szCs w:val="24"/>
        </w:rPr>
        <w:t>e</w:t>
      </w:r>
      <w:r w:rsidRPr="003B2BA3">
        <w:rPr>
          <w:rFonts w:ascii="Times New Roman" w:hAnsi="Times New Roman"/>
          <w:w w:val="100"/>
          <w:sz w:val="24"/>
          <w:szCs w:val="24"/>
        </w:rPr>
        <w:t xml:space="preserve"> kompresorov a strojných zariadení sa budú odovzdávať </w:t>
      </w:r>
      <w:r>
        <w:rPr>
          <w:rFonts w:ascii="Times New Roman" w:hAnsi="Times New Roman"/>
          <w:w w:val="100"/>
          <w:sz w:val="24"/>
          <w:szCs w:val="24"/>
        </w:rPr>
        <w:t xml:space="preserve">oprávnenej </w:t>
      </w:r>
      <w:r w:rsidRPr="003B2BA3">
        <w:rPr>
          <w:rFonts w:ascii="Times New Roman" w:hAnsi="Times New Roman"/>
          <w:w w:val="100"/>
          <w:sz w:val="24"/>
          <w:szCs w:val="24"/>
        </w:rPr>
        <w:t>organizácii</w:t>
      </w:r>
      <w:r>
        <w:rPr>
          <w:rFonts w:ascii="Times New Roman" w:hAnsi="Times New Roman"/>
          <w:w w:val="100"/>
          <w:sz w:val="24"/>
          <w:szCs w:val="24"/>
        </w:rPr>
        <w:t xml:space="preserve"> na</w:t>
      </w:r>
      <w:r w:rsidRPr="003B2BA3">
        <w:rPr>
          <w:rFonts w:ascii="Times New Roman" w:hAnsi="Times New Roman"/>
          <w:w w:val="100"/>
          <w:sz w:val="24"/>
          <w:szCs w:val="24"/>
        </w:rPr>
        <w:t xml:space="preserve"> zhodnocovanie</w:t>
      </w:r>
    </w:p>
    <w:p w:rsidR="00B301E6" w:rsidRPr="0045071E" w:rsidRDefault="00B301E6" w:rsidP="006F74F4">
      <w:pPr>
        <w:jc w:val="both"/>
        <w:rPr>
          <w:u w:val="single"/>
        </w:rPr>
      </w:pPr>
    </w:p>
    <w:p w:rsidR="00444792" w:rsidRPr="0045071E" w:rsidRDefault="00444792" w:rsidP="006F74F4">
      <w:pPr>
        <w:jc w:val="both"/>
      </w:pPr>
      <w:r w:rsidRPr="0045071E">
        <w:rPr>
          <w:u w:val="single"/>
        </w:rPr>
        <w:t>Pracovné prostredie:</w:t>
      </w:r>
      <w:r w:rsidR="00414075" w:rsidRPr="0045071E">
        <w:rPr>
          <w:u w:val="single"/>
        </w:rPr>
        <w:t xml:space="preserve">    </w:t>
      </w:r>
    </w:p>
    <w:p w:rsidR="00967A5D" w:rsidRDefault="00967A5D" w:rsidP="00967A5D">
      <w:pPr>
        <w:jc w:val="both"/>
      </w:pPr>
      <w:r w:rsidRPr="00967A5D">
        <w:rPr>
          <w:i/>
        </w:rPr>
        <w:t>Ochrana proti hluku</w:t>
      </w:r>
      <w:r>
        <w:t xml:space="preserve"> - V zmysle vyhlášky MŽP SR č. 549/2007 Z.z. prípustná hodnota ekvivalentnej hladiny A akustického zvuku vo vonkajšom prostredí závisí od kategórie územia, charakteru užívania budov a denného času. Územie areálu Duslo, a.s.v zmysle tab. č. 1 prílohy k uvedenej vyhláške patrí do IV. kategórie územia – územie bez obytnej funkcie, výrobné zóny, areály závodov. Pre túto kategóriu je pre hluk z iných zdrojov prípustná hodnota pre deň, večer aj pre noc LA</w:t>
      </w:r>
      <w:r>
        <w:rPr>
          <w:vertAlign w:val="subscript"/>
        </w:rPr>
        <w:t>eq,p,d,v,n</w:t>
      </w:r>
      <w:r>
        <w:t xml:space="preserve"> = 70 dB. </w:t>
      </w:r>
    </w:p>
    <w:p w:rsidR="00967A5D" w:rsidRDefault="00967A5D" w:rsidP="00967A5D">
      <w:pPr>
        <w:jc w:val="both"/>
      </w:pPr>
      <w:r>
        <w:t xml:space="preserve">Hlavnými zdrojmi hluku a vibrácií v prevádzke budú kompresory, parné turbíny a čerpadlá. Zariadenia  budú vybavené protihlukovými ochrannými prvkami, a tým, že prevádzka Čpavok 3 bude ukončená, nový výroba nespôsobí v areáli Duslo, a.s. zmenu hlukovej situácie oproti skutkovému stavu trvajúcemu už niekoľko rokov. Najbližšia rodinná zástavba obce Močenok je vzdialená cce 5 km a obce Trnovec nad Váhom cca 3 km. Bytová zástavba mesta Šaľa je </w:t>
      </w:r>
      <w:r>
        <w:lastRenderedPageBreak/>
        <w:t>vzdialená cca 5 km. Príspevok technologických zdrojov hluku vztiahnutý na najbližšie obytné zástavby bude minimálny, nakoľko vzdialenosť novej prevádzky od nich je dostatočná.</w:t>
      </w:r>
    </w:p>
    <w:p w:rsidR="00967A5D" w:rsidRDefault="00967A5D" w:rsidP="00967A5D">
      <w:pPr>
        <w:jc w:val="both"/>
      </w:pPr>
    </w:p>
    <w:p w:rsidR="00967A5D" w:rsidRDefault="00967A5D" w:rsidP="00967A5D">
      <w:pPr>
        <w:jc w:val="both"/>
      </w:pPr>
      <w:r>
        <w:rPr>
          <w:i/>
        </w:rPr>
        <w:t xml:space="preserve">Ochrana proti zápachu a pred žiarením - </w:t>
      </w:r>
      <w:r>
        <w:t>Čpavok má charakteristický silný zápach. Navrhovaný spôsob jeho výroby bude prebiehať v hermeticky uzatvorených zariadeniach a ich konštrukčné vlastnosti budú pri štandardných prevádzkových stavoch zabraňovať akýmkoľvek únikom do okolia.</w:t>
      </w:r>
    </w:p>
    <w:p w:rsidR="00967A5D" w:rsidRPr="00DC5A35" w:rsidRDefault="00967A5D" w:rsidP="00967A5D">
      <w:pPr>
        <w:jc w:val="both"/>
      </w:pPr>
      <w:r>
        <w:t xml:space="preserve">Nepredpokladá sa ani vznik elektromagnetického ani rádioaktívneho žiarenia, pretože v dotknutých priestoroch nebudú inštalované zdroje elektromagnetického žiarenia ani sa v nich nebudú používať rádioaktívne žiariče.       </w:t>
      </w:r>
    </w:p>
    <w:p w:rsidR="00967A5D" w:rsidRDefault="00967A5D" w:rsidP="006F74F4">
      <w:pPr>
        <w:ind w:hanging="180"/>
        <w:jc w:val="both"/>
      </w:pPr>
    </w:p>
    <w:p w:rsidR="005A0A1C" w:rsidRPr="0045071E" w:rsidRDefault="005A0A1C" w:rsidP="006F74F4">
      <w:pPr>
        <w:jc w:val="both"/>
        <w:rPr>
          <w:b/>
        </w:rPr>
      </w:pPr>
    </w:p>
    <w:p w:rsidR="000143E9" w:rsidRPr="00BB6ADC" w:rsidRDefault="00444792" w:rsidP="006F74F4">
      <w:pPr>
        <w:jc w:val="both"/>
      </w:pPr>
      <w:r w:rsidRPr="00BB6ADC">
        <w:rPr>
          <w:b/>
        </w:rPr>
        <w:t>Zoznam účastníkov stavebného konania:</w:t>
      </w:r>
      <w:r w:rsidR="00D233F9" w:rsidRPr="00BB6ADC">
        <w:rPr>
          <w:b/>
        </w:rPr>
        <w:t xml:space="preserve">      </w:t>
      </w:r>
    </w:p>
    <w:p w:rsidR="00BB6ADC" w:rsidRDefault="00E43B7D" w:rsidP="00BB6ADC">
      <w:pPr>
        <w:ind w:left="-360" w:firstLine="360"/>
        <w:jc w:val="both"/>
      </w:pPr>
      <w:r>
        <w:t>- A</w:t>
      </w:r>
      <w:r w:rsidR="00BB6ADC">
        <w:t xml:space="preserve">dresa všetkých účastníkov stavebného konania uvedených pod bodmi 1-12 je:  </w:t>
      </w:r>
    </w:p>
    <w:p w:rsidR="00BB6ADC" w:rsidRDefault="00BB6ADC" w:rsidP="00BB6ADC">
      <w:pPr>
        <w:jc w:val="both"/>
      </w:pPr>
      <w:r w:rsidRPr="00BB6ADC">
        <w:t xml:space="preserve">TKB engineers&amp;contractors, KOVOPROJEKTA Brno, a.s., so sídlom Šumavská 416/15, </w:t>
      </w:r>
    </w:p>
    <w:p w:rsidR="00BB6ADC" w:rsidRDefault="00BB6ADC" w:rsidP="00BB6ADC">
      <w:pPr>
        <w:jc w:val="both"/>
      </w:pPr>
      <w:r w:rsidRPr="00BB6ADC">
        <w:t>602 00 Brno</w:t>
      </w:r>
    </w:p>
    <w:p w:rsidR="00BB6ADC" w:rsidRDefault="00E43B7D" w:rsidP="00BB6ADC">
      <w:pPr>
        <w:jc w:val="both"/>
      </w:pPr>
      <w:r>
        <w:t xml:space="preserve">- </w:t>
      </w:r>
      <w:r w:rsidR="00BB6ADC">
        <w:t xml:space="preserve">Všetci účastníci stavebného konania uvedený pod bodmi 1-12 sú </w:t>
      </w:r>
      <w:r w:rsidR="00BB6ADC" w:rsidRPr="00BB6ADC">
        <w:t>zastúpen</w:t>
      </w:r>
      <w:r w:rsidR="00BB6ADC">
        <w:t>í</w:t>
      </w:r>
      <w:r w:rsidR="00BB6ADC" w:rsidRPr="00BB6ADC">
        <w:t xml:space="preserve"> splnomocneným zástupcom Dr. Ing. Petrom Némethom, vedúcim OIV – Duslo, a.s., Šaľa</w:t>
      </w:r>
      <w:r w:rsidR="00BB6ADC">
        <w:t>.</w:t>
      </w:r>
    </w:p>
    <w:p w:rsidR="00BB6ADC" w:rsidRDefault="00BB6ADC" w:rsidP="00BB6ADC">
      <w:pPr>
        <w:jc w:val="both"/>
      </w:pPr>
    </w:p>
    <w:p w:rsidR="00BB6ADC" w:rsidRDefault="000143E9" w:rsidP="00BB6ADC">
      <w:pPr>
        <w:pStyle w:val="Odsekzoznamu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ADC">
        <w:rPr>
          <w:rFonts w:ascii="Times New Roman" w:hAnsi="Times New Roman" w:cs="Times New Roman"/>
          <w:sz w:val="24"/>
          <w:szCs w:val="24"/>
        </w:rPr>
        <w:t xml:space="preserve">Ing. </w:t>
      </w:r>
      <w:r w:rsidR="00997E9A" w:rsidRPr="00BB6ADC">
        <w:rPr>
          <w:rFonts w:ascii="Times New Roman" w:hAnsi="Times New Roman" w:cs="Times New Roman"/>
          <w:sz w:val="24"/>
          <w:szCs w:val="24"/>
        </w:rPr>
        <w:t>Jozef Jánoš</w:t>
      </w:r>
      <w:r w:rsidR="004003A7" w:rsidRPr="00BB6ADC">
        <w:rPr>
          <w:rFonts w:ascii="Times New Roman" w:hAnsi="Times New Roman" w:cs="Times New Roman"/>
          <w:sz w:val="24"/>
          <w:szCs w:val="24"/>
        </w:rPr>
        <w:t xml:space="preserve">, autorizovaný stavebný inžinier </w:t>
      </w:r>
    </w:p>
    <w:p w:rsidR="00997E9A" w:rsidRPr="00BB6ADC" w:rsidRDefault="00997E9A" w:rsidP="00BB6ADC">
      <w:pPr>
        <w:pStyle w:val="Odsekzoznamu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ADC">
        <w:rPr>
          <w:rFonts w:ascii="Times New Roman" w:hAnsi="Times New Roman" w:cs="Times New Roman"/>
          <w:sz w:val="24"/>
          <w:szCs w:val="24"/>
        </w:rPr>
        <w:t>Ing. Ján Dekánek, špecialista požiarnej ochrany</w:t>
      </w:r>
    </w:p>
    <w:p w:rsidR="00997E9A" w:rsidRPr="00BB6ADC" w:rsidRDefault="00997E9A" w:rsidP="00BB6ADC">
      <w:pPr>
        <w:pStyle w:val="Odsekzoznamu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ADC">
        <w:rPr>
          <w:rFonts w:ascii="Times New Roman" w:hAnsi="Times New Roman" w:cs="Times New Roman"/>
          <w:sz w:val="24"/>
          <w:szCs w:val="24"/>
        </w:rPr>
        <w:t>Ing. Eduard Halinkovič, autorizovaný stavebný inžinier</w:t>
      </w:r>
    </w:p>
    <w:p w:rsidR="00997E9A" w:rsidRPr="00BB6ADC" w:rsidRDefault="00997E9A" w:rsidP="00BB6ADC">
      <w:pPr>
        <w:pStyle w:val="Odsekzoznamu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ADC">
        <w:rPr>
          <w:rFonts w:ascii="Times New Roman" w:hAnsi="Times New Roman" w:cs="Times New Roman"/>
          <w:sz w:val="24"/>
          <w:szCs w:val="24"/>
        </w:rPr>
        <w:t>Ing. Ján Kandráč, CSc., špecialista požiarnej ochrany</w:t>
      </w:r>
    </w:p>
    <w:p w:rsidR="00997E9A" w:rsidRPr="00BB6ADC" w:rsidRDefault="00997E9A" w:rsidP="00BB6ADC">
      <w:pPr>
        <w:pStyle w:val="Odsekzoznamu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ADC">
        <w:rPr>
          <w:rFonts w:ascii="Times New Roman" w:hAnsi="Times New Roman" w:cs="Times New Roman"/>
          <w:sz w:val="24"/>
          <w:szCs w:val="24"/>
        </w:rPr>
        <w:t>Ing. Jana Benkovičová, autorizovaný stavebný inžinier</w:t>
      </w:r>
    </w:p>
    <w:p w:rsidR="00A040FD" w:rsidRPr="00BB6ADC" w:rsidRDefault="00A040FD" w:rsidP="00BB6ADC">
      <w:pPr>
        <w:pStyle w:val="Odsekzoznamu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ADC">
        <w:rPr>
          <w:rFonts w:ascii="Times New Roman" w:hAnsi="Times New Roman" w:cs="Times New Roman"/>
          <w:sz w:val="24"/>
          <w:szCs w:val="24"/>
        </w:rPr>
        <w:t>Ing. Ondrej Hiadlovský, autorizovaný stavebný inžinier</w:t>
      </w:r>
    </w:p>
    <w:p w:rsidR="00A040FD" w:rsidRPr="00BB6ADC" w:rsidRDefault="00A040FD" w:rsidP="00BB6ADC">
      <w:pPr>
        <w:pStyle w:val="Odsekzoznamu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ADC">
        <w:rPr>
          <w:rFonts w:ascii="Times New Roman" w:hAnsi="Times New Roman" w:cs="Times New Roman"/>
          <w:sz w:val="24"/>
          <w:szCs w:val="24"/>
        </w:rPr>
        <w:t>Ing. Jozef Kapusta, autorizovaný stavebný inžinier</w:t>
      </w:r>
    </w:p>
    <w:p w:rsidR="00997E9A" w:rsidRPr="00BB6ADC" w:rsidRDefault="00997E9A" w:rsidP="00BB6ADC">
      <w:pPr>
        <w:pStyle w:val="Odsekzoznamu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ADC">
        <w:rPr>
          <w:rFonts w:ascii="Times New Roman" w:hAnsi="Times New Roman" w:cs="Times New Roman"/>
          <w:sz w:val="24"/>
          <w:szCs w:val="24"/>
        </w:rPr>
        <w:t>Ing. Štefan Chlebovec, autorizovaný stavebný inžinier</w:t>
      </w:r>
    </w:p>
    <w:p w:rsidR="005B4FB8" w:rsidRPr="00BB6ADC" w:rsidRDefault="005B4FB8" w:rsidP="00BB6ADC">
      <w:pPr>
        <w:pStyle w:val="Odsekzoznamu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ADC">
        <w:rPr>
          <w:rFonts w:ascii="Times New Roman" w:hAnsi="Times New Roman" w:cs="Times New Roman"/>
          <w:sz w:val="24"/>
          <w:szCs w:val="24"/>
        </w:rPr>
        <w:t>Ing. Marcel Malíček, autorizovaný stavebný inžinier</w:t>
      </w:r>
    </w:p>
    <w:p w:rsidR="004A14A9" w:rsidRPr="00BB6ADC" w:rsidRDefault="004A14A9" w:rsidP="00BB6ADC">
      <w:pPr>
        <w:pStyle w:val="Odsekzoznamu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ADC">
        <w:rPr>
          <w:rFonts w:ascii="Times New Roman" w:hAnsi="Times New Roman" w:cs="Times New Roman"/>
          <w:sz w:val="24"/>
          <w:szCs w:val="24"/>
        </w:rPr>
        <w:t>Ing. Ľubomír Klobučník, autorizovaný stavebný inžinier</w:t>
      </w:r>
    </w:p>
    <w:p w:rsidR="004A14A9" w:rsidRPr="00BB6ADC" w:rsidRDefault="004A14A9" w:rsidP="00BB6ADC">
      <w:pPr>
        <w:pStyle w:val="Odsekzoznamu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ADC">
        <w:rPr>
          <w:rFonts w:ascii="Times New Roman" w:hAnsi="Times New Roman" w:cs="Times New Roman"/>
          <w:sz w:val="24"/>
          <w:szCs w:val="24"/>
        </w:rPr>
        <w:t>Ing. Martin Oros, autorizovaný stavebný inžinier</w:t>
      </w:r>
    </w:p>
    <w:p w:rsidR="004A14A9" w:rsidRPr="00BB6ADC" w:rsidRDefault="004A14A9" w:rsidP="00BB6ADC">
      <w:pPr>
        <w:pStyle w:val="Odsekzoznamu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ADC">
        <w:rPr>
          <w:rFonts w:ascii="Times New Roman" w:hAnsi="Times New Roman" w:cs="Times New Roman"/>
          <w:sz w:val="24"/>
          <w:szCs w:val="24"/>
        </w:rPr>
        <w:t>Ing. Miloš Šimko, autorizovaný stavebný inžinier</w:t>
      </w:r>
      <w:bookmarkStart w:id="3" w:name="_GoBack"/>
      <w:bookmarkEnd w:id="3"/>
    </w:p>
    <w:p w:rsidR="00BB6ADC" w:rsidRDefault="00BB6ADC" w:rsidP="006F74F4">
      <w:pPr>
        <w:jc w:val="both"/>
      </w:pPr>
    </w:p>
    <w:p w:rsidR="00BB6ADC" w:rsidRPr="00BB6ADC" w:rsidRDefault="00BB6ADC" w:rsidP="00BB6ADC">
      <w:pPr>
        <w:pStyle w:val="Odsekzoznamu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ADC">
        <w:rPr>
          <w:rFonts w:ascii="Times New Roman" w:hAnsi="Times New Roman" w:cs="Times New Roman"/>
          <w:sz w:val="24"/>
          <w:szCs w:val="24"/>
        </w:rPr>
        <w:t>Obec Močenok, Obecný úrad, Sv. Gorazda 629/82, 951 31 Močenok</w:t>
      </w:r>
    </w:p>
    <w:p w:rsidR="00BB6ADC" w:rsidRPr="00BB6ADC" w:rsidRDefault="00BB6ADC" w:rsidP="00BB6ADC">
      <w:pPr>
        <w:pStyle w:val="Odsekzoznamu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ADC">
        <w:rPr>
          <w:rFonts w:ascii="Times New Roman" w:hAnsi="Times New Roman" w:cs="Times New Roman"/>
          <w:sz w:val="24"/>
          <w:szCs w:val="24"/>
        </w:rPr>
        <w:t>Obec Trnovec nad Váhom, Obecný úrad, č. 587, 925 71 Trnovec nad Váhom</w:t>
      </w:r>
    </w:p>
    <w:p w:rsidR="00BB6ADC" w:rsidRPr="00BB6ADC" w:rsidRDefault="00BB6ADC" w:rsidP="00BB6ADC">
      <w:pPr>
        <w:pStyle w:val="Odsekzoznamu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ADC">
        <w:rPr>
          <w:rFonts w:ascii="Times New Roman" w:hAnsi="Times New Roman" w:cs="Times New Roman"/>
          <w:sz w:val="24"/>
          <w:szCs w:val="24"/>
        </w:rPr>
        <w:t>Mária Čerešňáková, Čingov č. 840/73, 951 31 Močenok (splnomocnenec občianskej iniciatívy)</w:t>
      </w:r>
    </w:p>
    <w:p w:rsidR="00BB6ADC" w:rsidRPr="00BB6ADC" w:rsidRDefault="00BB6ADC" w:rsidP="00BB6ADC">
      <w:pPr>
        <w:pStyle w:val="Odsekzoznamu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ADC">
        <w:rPr>
          <w:rFonts w:ascii="Times New Roman" w:hAnsi="Times New Roman" w:cs="Times New Roman"/>
          <w:sz w:val="24"/>
          <w:szCs w:val="24"/>
        </w:rPr>
        <w:t>JUDr. Soňa Horná, Čingov č. 840/73, 951 31 Močenok</w:t>
      </w:r>
    </w:p>
    <w:p w:rsidR="00BB6ADC" w:rsidRPr="00BB6ADC" w:rsidRDefault="00BB6ADC" w:rsidP="00BB6ADC">
      <w:pPr>
        <w:pStyle w:val="Odsekzoznamu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6ADC">
        <w:rPr>
          <w:rFonts w:ascii="Times New Roman" w:hAnsi="Times New Roman" w:cs="Times New Roman"/>
          <w:sz w:val="24"/>
          <w:szCs w:val="24"/>
        </w:rPr>
        <w:t>Ing. Ľudovít Čerešňák, Čingov č. 840/73, 951 31 Močenok</w:t>
      </w:r>
    </w:p>
    <w:p w:rsidR="00BB6ADC" w:rsidRDefault="00BB6ADC" w:rsidP="00BB6ADC">
      <w:pPr>
        <w:jc w:val="both"/>
      </w:pPr>
    </w:p>
    <w:p w:rsidR="00997E9A" w:rsidRDefault="00997E9A" w:rsidP="006F74F4">
      <w:pPr>
        <w:jc w:val="both"/>
      </w:pPr>
      <w:r w:rsidRPr="00997E9A">
        <w:t xml:space="preserve"> </w:t>
      </w:r>
    </w:p>
    <w:p w:rsidR="00B331D2" w:rsidRPr="0045071E" w:rsidRDefault="00B331D2" w:rsidP="006F74F4">
      <w:pPr>
        <w:jc w:val="both"/>
      </w:pPr>
    </w:p>
    <w:p w:rsidR="00C74A00" w:rsidRPr="0045071E" w:rsidRDefault="00C74A00" w:rsidP="006F74F4">
      <w:pPr>
        <w:jc w:val="both"/>
      </w:pPr>
    </w:p>
    <w:p w:rsidR="00C74A00" w:rsidRPr="0045071E" w:rsidRDefault="00C74A00" w:rsidP="006F74F4">
      <w:pPr>
        <w:jc w:val="both"/>
      </w:pPr>
    </w:p>
    <w:p w:rsidR="00C74A00" w:rsidRPr="0045071E" w:rsidRDefault="00C74A00" w:rsidP="006F74F4">
      <w:pPr>
        <w:jc w:val="both"/>
      </w:pPr>
    </w:p>
    <w:p w:rsidR="00CF76E2" w:rsidRPr="0045071E" w:rsidRDefault="00CF76E2" w:rsidP="006F74F4">
      <w:pPr>
        <w:jc w:val="center"/>
      </w:pPr>
      <w:r w:rsidRPr="0045071E">
        <w:t xml:space="preserve">                                                                               Ing. Jozef  M a k o</w:t>
      </w:r>
    </w:p>
    <w:p w:rsidR="00CF76E2" w:rsidRPr="0045071E" w:rsidRDefault="00CF76E2" w:rsidP="006F74F4">
      <w:pPr>
        <w:jc w:val="center"/>
      </w:pPr>
      <w:r w:rsidRPr="0045071E">
        <w:t xml:space="preserve">                                                        </w:t>
      </w:r>
      <w:r w:rsidR="00967A5D">
        <w:t xml:space="preserve">                    </w:t>
      </w:r>
      <w:r w:rsidRPr="0045071E">
        <w:t xml:space="preserve">       vedúci odboru životného</w:t>
      </w:r>
      <w:r w:rsidR="00967A5D">
        <w:t xml:space="preserve"> prostredia</w:t>
      </w:r>
    </w:p>
    <w:p w:rsidR="00CF76E2" w:rsidRPr="0045071E" w:rsidRDefault="009F3995" w:rsidP="006F74F4">
      <w:pPr>
        <w:jc w:val="center"/>
      </w:pPr>
      <w:r w:rsidRPr="0045071E">
        <w:t xml:space="preserve">                                                                                </w:t>
      </w:r>
      <w:r w:rsidR="00CF76E2" w:rsidRPr="0045071E">
        <w:t>a</w:t>
      </w:r>
      <w:r w:rsidRPr="0045071E">
        <w:t> </w:t>
      </w:r>
      <w:r w:rsidR="00CF76E2" w:rsidRPr="0045071E">
        <w:t>ochrany zdravia</w:t>
      </w:r>
    </w:p>
    <w:p w:rsidR="00CF76E2" w:rsidRPr="0045071E" w:rsidRDefault="00CF76E2" w:rsidP="006F74F4">
      <w:pPr>
        <w:jc w:val="both"/>
      </w:pPr>
    </w:p>
    <w:p w:rsidR="00192A8A" w:rsidRPr="0045071E" w:rsidRDefault="00192A8A" w:rsidP="006F74F4">
      <w:pPr>
        <w:jc w:val="both"/>
      </w:pPr>
    </w:p>
    <w:p w:rsidR="00192A8A" w:rsidRPr="0045071E" w:rsidRDefault="00192A8A" w:rsidP="006F74F4">
      <w:pPr>
        <w:jc w:val="both"/>
      </w:pPr>
    </w:p>
    <w:p w:rsidR="00192A8A" w:rsidRPr="0045071E" w:rsidRDefault="00192A8A" w:rsidP="006F74F4">
      <w:pPr>
        <w:jc w:val="both"/>
      </w:pPr>
    </w:p>
    <w:p w:rsidR="00192A8A" w:rsidRPr="0045071E" w:rsidRDefault="00192A8A" w:rsidP="006F74F4">
      <w:pPr>
        <w:jc w:val="both"/>
      </w:pPr>
    </w:p>
    <w:p w:rsidR="00192A8A" w:rsidRPr="0045071E" w:rsidRDefault="00192A8A" w:rsidP="006F74F4">
      <w:pPr>
        <w:jc w:val="both"/>
      </w:pPr>
    </w:p>
    <w:p w:rsidR="00192A8A" w:rsidRPr="0045071E" w:rsidRDefault="00192A8A" w:rsidP="006F74F4">
      <w:pPr>
        <w:jc w:val="both"/>
      </w:pPr>
    </w:p>
    <w:p w:rsidR="00192A8A" w:rsidRPr="0045071E" w:rsidRDefault="00192A8A" w:rsidP="006F74F4">
      <w:pPr>
        <w:jc w:val="both"/>
      </w:pPr>
    </w:p>
    <w:p w:rsidR="00192A8A" w:rsidRPr="0045071E" w:rsidRDefault="00192A8A" w:rsidP="006F74F4">
      <w:pPr>
        <w:jc w:val="both"/>
      </w:pPr>
    </w:p>
    <w:p w:rsidR="00192A8A" w:rsidRPr="0045071E" w:rsidRDefault="00192A8A" w:rsidP="006F74F4">
      <w:pPr>
        <w:jc w:val="both"/>
      </w:pPr>
    </w:p>
    <w:p w:rsidR="00192A8A" w:rsidRPr="0045071E" w:rsidRDefault="00192A8A" w:rsidP="006F74F4">
      <w:pPr>
        <w:jc w:val="both"/>
      </w:pPr>
    </w:p>
    <w:p w:rsidR="00192A8A" w:rsidRPr="0045071E" w:rsidRDefault="00192A8A" w:rsidP="006F74F4">
      <w:pPr>
        <w:jc w:val="both"/>
      </w:pPr>
    </w:p>
    <w:p w:rsidR="00192A8A" w:rsidRPr="0045071E" w:rsidRDefault="00192A8A" w:rsidP="006F74F4">
      <w:pPr>
        <w:jc w:val="both"/>
      </w:pPr>
    </w:p>
    <w:p w:rsidR="00192A8A" w:rsidRPr="0045071E" w:rsidRDefault="00192A8A" w:rsidP="006F74F4">
      <w:pPr>
        <w:jc w:val="both"/>
      </w:pPr>
    </w:p>
    <w:p w:rsidR="00192A8A" w:rsidRPr="0045071E" w:rsidRDefault="00192A8A" w:rsidP="006F74F4">
      <w:pPr>
        <w:jc w:val="both"/>
      </w:pPr>
    </w:p>
    <w:p w:rsidR="00192A8A" w:rsidRPr="0045071E" w:rsidRDefault="00192A8A" w:rsidP="006F74F4">
      <w:pPr>
        <w:jc w:val="both"/>
      </w:pPr>
    </w:p>
    <w:p w:rsidR="00192A8A" w:rsidRPr="0045071E" w:rsidRDefault="00192A8A" w:rsidP="006F74F4">
      <w:pPr>
        <w:jc w:val="both"/>
      </w:pPr>
    </w:p>
    <w:p w:rsidR="004003A7" w:rsidRPr="0045071E" w:rsidRDefault="004003A7" w:rsidP="006F74F4">
      <w:pPr>
        <w:jc w:val="both"/>
      </w:pPr>
    </w:p>
    <w:p w:rsidR="004003A7" w:rsidRPr="0045071E" w:rsidRDefault="004003A7" w:rsidP="006F74F4">
      <w:pPr>
        <w:jc w:val="both"/>
      </w:pPr>
    </w:p>
    <w:p w:rsidR="004003A7" w:rsidRPr="0045071E" w:rsidRDefault="004003A7" w:rsidP="006F74F4">
      <w:pPr>
        <w:jc w:val="both"/>
      </w:pPr>
    </w:p>
    <w:p w:rsidR="004003A7" w:rsidRPr="0045071E" w:rsidRDefault="004003A7" w:rsidP="006F74F4">
      <w:pPr>
        <w:jc w:val="both"/>
      </w:pPr>
    </w:p>
    <w:p w:rsidR="004003A7" w:rsidRPr="0045071E" w:rsidRDefault="004003A7" w:rsidP="006F74F4">
      <w:pPr>
        <w:jc w:val="both"/>
      </w:pPr>
    </w:p>
    <w:p w:rsidR="004003A7" w:rsidRPr="0045071E" w:rsidRDefault="004003A7" w:rsidP="006F74F4">
      <w:pPr>
        <w:jc w:val="both"/>
      </w:pPr>
    </w:p>
    <w:p w:rsidR="004003A7" w:rsidRPr="0045071E" w:rsidRDefault="004003A7" w:rsidP="006F74F4">
      <w:pPr>
        <w:jc w:val="both"/>
      </w:pPr>
    </w:p>
    <w:p w:rsidR="004003A7" w:rsidRPr="0045071E" w:rsidRDefault="004003A7" w:rsidP="006F74F4">
      <w:pPr>
        <w:jc w:val="both"/>
      </w:pPr>
    </w:p>
    <w:p w:rsidR="004003A7" w:rsidRPr="0045071E" w:rsidRDefault="004003A7" w:rsidP="006F74F4">
      <w:pPr>
        <w:jc w:val="both"/>
      </w:pPr>
    </w:p>
    <w:p w:rsidR="004003A7" w:rsidRPr="0045071E" w:rsidRDefault="004003A7" w:rsidP="006F74F4">
      <w:pPr>
        <w:jc w:val="both"/>
      </w:pPr>
    </w:p>
    <w:p w:rsidR="004003A7" w:rsidRDefault="004003A7" w:rsidP="006F74F4">
      <w:pPr>
        <w:jc w:val="both"/>
        <w:rPr>
          <w:sz w:val="20"/>
          <w:szCs w:val="20"/>
        </w:rPr>
      </w:pPr>
    </w:p>
    <w:p w:rsidR="00B331D2" w:rsidRDefault="00B331D2" w:rsidP="006F74F4">
      <w:pPr>
        <w:jc w:val="both"/>
        <w:rPr>
          <w:sz w:val="20"/>
          <w:szCs w:val="20"/>
        </w:rPr>
      </w:pPr>
    </w:p>
    <w:p w:rsidR="00B331D2" w:rsidRDefault="00B331D2" w:rsidP="006F74F4">
      <w:pPr>
        <w:jc w:val="both"/>
        <w:rPr>
          <w:sz w:val="20"/>
          <w:szCs w:val="20"/>
        </w:rPr>
      </w:pPr>
    </w:p>
    <w:p w:rsidR="00B331D2" w:rsidRDefault="00B331D2" w:rsidP="006F74F4">
      <w:pPr>
        <w:jc w:val="both"/>
        <w:rPr>
          <w:sz w:val="20"/>
          <w:szCs w:val="20"/>
        </w:rPr>
      </w:pPr>
    </w:p>
    <w:p w:rsidR="003E2315" w:rsidRDefault="003E2315" w:rsidP="006F74F4">
      <w:pPr>
        <w:jc w:val="both"/>
      </w:pPr>
    </w:p>
    <w:p w:rsidR="003538C3" w:rsidRDefault="003538C3" w:rsidP="006F74F4">
      <w:pPr>
        <w:jc w:val="both"/>
      </w:pPr>
    </w:p>
    <w:p w:rsidR="003E2315" w:rsidRDefault="003E2315" w:rsidP="006F74F4">
      <w:pPr>
        <w:jc w:val="both"/>
      </w:pPr>
    </w:p>
    <w:p w:rsidR="003E2315" w:rsidRDefault="003E2315" w:rsidP="006F74F4">
      <w:pPr>
        <w:jc w:val="both"/>
      </w:pPr>
    </w:p>
    <w:p w:rsidR="00A04F82" w:rsidRPr="00A04F82" w:rsidRDefault="00A04F82" w:rsidP="006F74F4">
      <w:pPr>
        <w:jc w:val="both"/>
      </w:pPr>
      <w:r>
        <w:t xml:space="preserve"> </w:t>
      </w:r>
    </w:p>
    <w:p w:rsidR="003E2315" w:rsidRDefault="003E2315" w:rsidP="006F74F4">
      <w:pPr>
        <w:jc w:val="both"/>
        <w:rPr>
          <w:sz w:val="20"/>
          <w:szCs w:val="20"/>
        </w:rPr>
      </w:pPr>
    </w:p>
    <w:p w:rsidR="003E2315" w:rsidRDefault="003E2315" w:rsidP="006F74F4">
      <w:pPr>
        <w:jc w:val="both"/>
        <w:rPr>
          <w:sz w:val="20"/>
          <w:szCs w:val="20"/>
        </w:rPr>
      </w:pPr>
    </w:p>
    <w:p w:rsidR="003E2315" w:rsidRDefault="003E2315" w:rsidP="006F74F4">
      <w:pPr>
        <w:jc w:val="both"/>
        <w:rPr>
          <w:sz w:val="20"/>
          <w:szCs w:val="20"/>
        </w:rPr>
      </w:pPr>
    </w:p>
    <w:p w:rsidR="003E2315" w:rsidRDefault="003E2315" w:rsidP="006F74F4">
      <w:pPr>
        <w:jc w:val="both"/>
        <w:rPr>
          <w:sz w:val="20"/>
          <w:szCs w:val="20"/>
        </w:rPr>
      </w:pPr>
    </w:p>
    <w:p w:rsidR="003E2315" w:rsidRDefault="003E2315" w:rsidP="006F74F4">
      <w:pPr>
        <w:jc w:val="both"/>
        <w:rPr>
          <w:sz w:val="20"/>
          <w:szCs w:val="20"/>
        </w:rPr>
      </w:pPr>
    </w:p>
    <w:p w:rsidR="003E2315" w:rsidRDefault="003E2315" w:rsidP="006F74F4">
      <w:pPr>
        <w:jc w:val="both"/>
        <w:rPr>
          <w:sz w:val="20"/>
          <w:szCs w:val="20"/>
        </w:rPr>
      </w:pPr>
    </w:p>
    <w:p w:rsidR="003E2315" w:rsidRDefault="003E2315" w:rsidP="003E2315">
      <w:pPr>
        <w:jc w:val="both"/>
        <w:rPr>
          <w:sz w:val="20"/>
          <w:szCs w:val="20"/>
        </w:rPr>
      </w:pPr>
    </w:p>
    <w:p w:rsidR="003E2315" w:rsidRDefault="003E2315" w:rsidP="003E2315">
      <w:pPr>
        <w:jc w:val="both"/>
        <w:rPr>
          <w:sz w:val="20"/>
          <w:szCs w:val="20"/>
        </w:rPr>
      </w:pPr>
    </w:p>
    <w:p w:rsidR="003E2315" w:rsidRDefault="003E2315" w:rsidP="003E2315">
      <w:pPr>
        <w:jc w:val="both"/>
        <w:rPr>
          <w:sz w:val="20"/>
          <w:szCs w:val="20"/>
        </w:rPr>
      </w:pPr>
    </w:p>
    <w:p w:rsidR="003E2315" w:rsidRDefault="003E2315" w:rsidP="003E2315">
      <w:pPr>
        <w:jc w:val="both"/>
        <w:rPr>
          <w:sz w:val="20"/>
          <w:szCs w:val="20"/>
        </w:rPr>
      </w:pPr>
    </w:p>
    <w:p w:rsidR="003E2315" w:rsidRDefault="003E2315" w:rsidP="003E2315">
      <w:pPr>
        <w:jc w:val="both"/>
        <w:rPr>
          <w:sz w:val="20"/>
          <w:szCs w:val="20"/>
        </w:rPr>
      </w:pPr>
    </w:p>
    <w:p w:rsidR="003E2315" w:rsidRDefault="003E2315" w:rsidP="003E2315">
      <w:pPr>
        <w:jc w:val="both"/>
        <w:rPr>
          <w:sz w:val="20"/>
          <w:szCs w:val="20"/>
        </w:rPr>
      </w:pPr>
    </w:p>
    <w:p w:rsidR="003E2315" w:rsidRDefault="003E2315" w:rsidP="003E2315">
      <w:pPr>
        <w:jc w:val="both"/>
        <w:rPr>
          <w:sz w:val="20"/>
          <w:szCs w:val="20"/>
        </w:rPr>
      </w:pPr>
    </w:p>
    <w:p w:rsidR="003E2315" w:rsidRDefault="003E2315" w:rsidP="003E2315">
      <w:pPr>
        <w:jc w:val="both"/>
        <w:rPr>
          <w:sz w:val="20"/>
          <w:szCs w:val="20"/>
        </w:rPr>
      </w:pPr>
    </w:p>
    <w:p w:rsidR="003E2315" w:rsidRPr="0026091B" w:rsidRDefault="003E2315" w:rsidP="003E2315"/>
    <w:p w:rsidR="003E2315" w:rsidRDefault="003E2315" w:rsidP="003E2315"/>
    <w:p w:rsidR="006B75D1" w:rsidRPr="0026091B" w:rsidRDefault="006B75D1" w:rsidP="003E2315"/>
    <w:p w:rsidR="006B75D1" w:rsidRPr="006B75D1" w:rsidRDefault="006B75D1" w:rsidP="006B75D1">
      <w:pPr>
        <w:jc w:val="right"/>
      </w:pPr>
    </w:p>
    <w:p w:rsidR="003E2315" w:rsidRDefault="003E2315" w:rsidP="003E2315">
      <w:pPr>
        <w:rPr>
          <w:b/>
          <w:u w:val="single"/>
        </w:rPr>
      </w:pPr>
    </w:p>
    <w:p w:rsidR="003E2315" w:rsidRPr="003E2315" w:rsidRDefault="003E2315" w:rsidP="003E2315">
      <w:pPr>
        <w:jc w:val="both"/>
      </w:pPr>
    </w:p>
    <w:p w:rsidR="00B331D2" w:rsidRPr="0026091B" w:rsidRDefault="009C3AB4" w:rsidP="0026091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4566920</wp:posOffset>
                </wp:positionV>
                <wp:extent cx="6286500" cy="6972300"/>
                <wp:effectExtent l="4445" t="0" r="0" b="4445"/>
                <wp:wrapTopAndBottom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697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59F" w:rsidRDefault="00C8059F" w:rsidP="0026091B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  <w:p w:rsidR="00C8059F" w:rsidRDefault="00C8059F" w:rsidP="0026091B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8pt;margin-top:359.6pt;width:495pt;height:5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1Sgg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" stroked="f">
                <v:textbox>
                  <w:txbxContent>
                    <w:p w:rsidR="00C8059F" w:rsidRDefault="00C8059F" w:rsidP="0026091B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  <w:p w:rsidR="00C8059F" w:rsidRDefault="00C8059F" w:rsidP="0026091B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331D2" w:rsidRPr="00AE584E" w:rsidRDefault="009C3AB4" w:rsidP="00B331D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281940</wp:posOffset>
                </wp:positionV>
                <wp:extent cx="6286500" cy="8458200"/>
                <wp:effectExtent l="4445" t="635" r="0" b="0"/>
                <wp:wrapTopAndBottom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45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059F" w:rsidRDefault="00C8059F" w:rsidP="00B331D2">
                            <w:pPr>
                              <w:jc w:val="both"/>
                              <w:rPr>
                                <w:szCs w:val="22"/>
                              </w:rPr>
                            </w:pPr>
                          </w:p>
                          <w:p w:rsidR="00C8059F" w:rsidRPr="00DE1F38" w:rsidRDefault="00C8059F" w:rsidP="00B331D2">
                            <w:pPr>
                              <w:pStyle w:val="Hlavi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Times New Roman" w:hAnsi="Times New Roman"/>
                                <w:sz w:val="20"/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18pt;margin-top:22.2pt;width:495pt;height:6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" stroked="f">
                <v:textbox>
                  <w:txbxContent>
                    <w:p w:rsidR="00C8059F" w:rsidRDefault="00C8059F" w:rsidP="00B331D2">
                      <w:pPr>
                        <w:jc w:val="both"/>
                        <w:rPr>
                          <w:szCs w:val="22"/>
                        </w:rPr>
                      </w:pPr>
                    </w:p>
                    <w:p w:rsidR="00C8059F" w:rsidRPr="00DE1F38" w:rsidRDefault="00C8059F" w:rsidP="00B331D2">
                      <w:pPr>
                        <w:pStyle w:val="Hlavika"/>
                        <w:tabs>
                          <w:tab w:val="clear" w:pos="4536"/>
                          <w:tab w:val="clear" w:pos="9072"/>
                        </w:tabs>
                        <w:rPr>
                          <w:rFonts w:ascii="Times New Roman" w:hAnsi="Times New Roman"/>
                          <w:sz w:val="20"/>
                          <w:lang w:val="sk-SK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2A548C" w:rsidRPr="000143E9" w:rsidRDefault="00D233F9" w:rsidP="00414075">
      <w:pPr>
        <w:jc w:val="both"/>
        <w:rPr>
          <w:sz w:val="20"/>
          <w:szCs w:val="20"/>
        </w:rPr>
      </w:pPr>
      <w:r w:rsidRPr="000143E9">
        <w:rPr>
          <w:sz w:val="20"/>
          <w:szCs w:val="20"/>
        </w:rPr>
        <w:t xml:space="preserve">                                                </w:t>
      </w:r>
    </w:p>
    <w:sectPr w:rsidR="002A548C" w:rsidRPr="000143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ACA" w:rsidRDefault="00A71ACA">
      <w:r>
        <w:separator/>
      </w:r>
    </w:p>
  </w:endnote>
  <w:endnote w:type="continuationSeparator" w:id="0">
    <w:p w:rsidR="00A71ACA" w:rsidRDefault="00A7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9F" w:rsidRPr="00C74A00" w:rsidRDefault="00C8059F" w:rsidP="00C74A00">
    <w:pPr>
      <w:pStyle w:val="Pta"/>
      <w:jc w:val="right"/>
      <w:rPr>
        <w:sz w:val="20"/>
        <w:szCs w:val="20"/>
      </w:rPr>
    </w:pPr>
    <w:r w:rsidRPr="00C74A00">
      <w:rPr>
        <w:rStyle w:val="slostrany"/>
        <w:sz w:val="20"/>
        <w:szCs w:val="20"/>
      </w:rPr>
      <w:fldChar w:fldCharType="begin"/>
    </w:r>
    <w:r w:rsidRPr="00C74A00">
      <w:rPr>
        <w:rStyle w:val="slostrany"/>
        <w:sz w:val="20"/>
        <w:szCs w:val="20"/>
      </w:rPr>
      <w:instrText xml:space="preserve"> PAGE </w:instrText>
    </w:r>
    <w:r w:rsidRPr="00C74A00">
      <w:rPr>
        <w:rStyle w:val="slostrany"/>
        <w:sz w:val="20"/>
        <w:szCs w:val="20"/>
      </w:rPr>
      <w:fldChar w:fldCharType="separate"/>
    </w:r>
    <w:r w:rsidR="00E43B7D">
      <w:rPr>
        <w:rStyle w:val="slostrany"/>
        <w:noProof/>
        <w:sz w:val="20"/>
        <w:szCs w:val="20"/>
      </w:rPr>
      <w:t>15</w:t>
    </w:r>
    <w:r w:rsidRPr="00C74A00">
      <w:rPr>
        <w:rStyle w:val="slostrany"/>
        <w:sz w:val="20"/>
        <w:szCs w:val="20"/>
      </w:rPr>
      <w:fldChar w:fldCharType="end"/>
    </w:r>
    <w:r>
      <w:rPr>
        <w:rStyle w:val="slostrany"/>
        <w:sz w:val="20"/>
        <w:szCs w:val="20"/>
      </w:rPr>
      <w:t>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ACA" w:rsidRDefault="00A71ACA">
      <w:r>
        <w:separator/>
      </w:r>
    </w:p>
  </w:footnote>
  <w:footnote w:type="continuationSeparator" w:id="0">
    <w:p w:rsidR="00A71ACA" w:rsidRDefault="00A7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7459"/>
    <w:multiLevelType w:val="hybridMultilevel"/>
    <w:tmpl w:val="8A904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31AED"/>
    <w:multiLevelType w:val="hybridMultilevel"/>
    <w:tmpl w:val="2A22C1C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74671"/>
    <w:multiLevelType w:val="hybridMultilevel"/>
    <w:tmpl w:val="5F7EDB6C"/>
    <w:lvl w:ilvl="0" w:tplc="041B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0EB56015"/>
    <w:multiLevelType w:val="hybridMultilevel"/>
    <w:tmpl w:val="3B2A4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26E6A"/>
    <w:multiLevelType w:val="hybridMultilevel"/>
    <w:tmpl w:val="39AE19D2"/>
    <w:lvl w:ilvl="0" w:tplc="EA4AB65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B464F5"/>
    <w:multiLevelType w:val="hybridMultilevel"/>
    <w:tmpl w:val="948E92C8"/>
    <w:lvl w:ilvl="0" w:tplc="041B0003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6">
    <w:nsid w:val="20935B95"/>
    <w:multiLevelType w:val="hybridMultilevel"/>
    <w:tmpl w:val="5044BBA6"/>
    <w:lvl w:ilvl="0" w:tplc="041B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>
    <w:nsid w:val="22BA73E2"/>
    <w:multiLevelType w:val="hybridMultilevel"/>
    <w:tmpl w:val="58A061D8"/>
    <w:lvl w:ilvl="0" w:tplc="7ADA6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C64BE"/>
    <w:multiLevelType w:val="hybridMultilevel"/>
    <w:tmpl w:val="2E1AE02C"/>
    <w:lvl w:ilvl="0" w:tplc="C5443A5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4C6483"/>
    <w:multiLevelType w:val="hybridMultilevel"/>
    <w:tmpl w:val="905A6FDA"/>
    <w:lvl w:ilvl="0" w:tplc="041B0003">
      <w:start w:val="1"/>
      <w:numFmt w:val="bullet"/>
      <w:lvlText w:val="o"/>
      <w:lvlJc w:val="left"/>
      <w:pPr>
        <w:ind w:left="84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0">
    <w:nsid w:val="2EBD3FEC"/>
    <w:multiLevelType w:val="hybridMultilevel"/>
    <w:tmpl w:val="F716C6DA"/>
    <w:lvl w:ilvl="0" w:tplc="041B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309B76C3"/>
    <w:multiLevelType w:val="hybridMultilevel"/>
    <w:tmpl w:val="E976DBE2"/>
    <w:lvl w:ilvl="0" w:tplc="041B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A5F1107"/>
    <w:multiLevelType w:val="hybridMultilevel"/>
    <w:tmpl w:val="E22C6AE4"/>
    <w:lvl w:ilvl="0" w:tplc="7876D63E">
      <w:start w:val="1"/>
      <w:numFmt w:val="bullet"/>
      <w:lvlText w:val=""/>
      <w:lvlJc w:val="left"/>
      <w:pPr>
        <w:tabs>
          <w:tab w:val="num" w:pos="284"/>
        </w:tabs>
        <w:ind w:left="227" w:hanging="22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21596C"/>
    <w:multiLevelType w:val="hybridMultilevel"/>
    <w:tmpl w:val="D570EC76"/>
    <w:lvl w:ilvl="0" w:tplc="041B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4">
    <w:nsid w:val="48DE1F14"/>
    <w:multiLevelType w:val="hybridMultilevel"/>
    <w:tmpl w:val="CF9C37C8"/>
    <w:lvl w:ilvl="0" w:tplc="EA4AB65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C570F7"/>
    <w:multiLevelType w:val="hybridMultilevel"/>
    <w:tmpl w:val="F8043DC6"/>
    <w:lvl w:ilvl="0" w:tplc="EA4AB650">
      <w:start w:val="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D3234"/>
    <w:multiLevelType w:val="hybridMultilevel"/>
    <w:tmpl w:val="57360A60"/>
    <w:lvl w:ilvl="0" w:tplc="EA4AB650">
      <w:start w:val="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1C50D9"/>
    <w:multiLevelType w:val="hybridMultilevel"/>
    <w:tmpl w:val="C30C166A"/>
    <w:lvl w:ilvl="0" w:tplc="041B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18">
    <w:nsid w:val="6C9735B5"/>
    <w:multiLevelType w:val="hybridMultilevel"/>
    <w:tmpl w:val="28221730"/>
    <w:lvl w:ilvl="0" w:tplc="AF7A46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59617C"/>
    <w:multiLevelType w:val="hybridMultilevel"/>
    <w:tmpl w:val="8BD04250"/>
    <w:lvl w:ilvl="0" w:tplc="1DACD4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10944"/>
    <w:multiLevelType w:val="hybridMultilevel"/>
    <w:tmpl w:val="A3BA9940"/>
    <w:lvl w:ilvl="0" w:tplc="82EE8264">
      <w:start w:val="1"/>
      <w:numFmt w:val="bullet"/>
      <w:lvlText w:val=""/>
      <w:lvlJc w:val="left"/>
      <w:pPr>
        <w:tabs>
          <w:tab w:val="num" w:pos="1977"/>
        </w:tabs>
        <w:ind w:left="2340" w:hanging="360"/>
      </w:pPr>
      <w:rPr>
        <w:rFonts w:ascii="Symbol" w:hAnsi="Symbol" w:hint="default"/>
        <w:color w:val="auto"/>
      </w:rPr>
    </w:lvl>
    <w:lvl w:ilvl="1" w:tplc="15688F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0"/>
  </w:num>
  <w:num w:numId="5">
    <w:abstractNumId w:val="11"/>
  </w:num>
  <w:num w:numId="6">
    <w:abstractNumId w:val="19"/>
  </w:num>
  <w:num w:numId="7">
    <w:abstractNumId w:val="1"/>
  </w:num>
  <w:num w:numId="8">
    <w:abstractNumId w:val="9"/>
  </w:num>
  <w:num w:numId="9">
    <w:abstractNumId w:val="5"/>
  </w:num>
  <w:num w:numId="10">
    <w:abstractNumId w:val="13"/>
  </w:num>
  <w:num w:numId="11">
    <w:abstractNumId w:val="17"/>
  </w:num>
  <w:num w:numId="12">
    <w:abstractNumId w:val="10"/>
  </w:num>
  <w:num w:numId="13">
    <w:abstractNumId w:val="18"/>
  </w:num>
  <w:num w:numId="14">
    <w:abstractNumId w:val="2"/>
  </w:num>
  <w:num w:numId="15">
    <w:abstractNumId w:val="6"/>
  </w:num>
  <w:num w:numId="16">
    <w:abstractNumId w:val="7"/>
  </w:num>
  <w:num w:numId="17">
    <w:abstractNumId w:val="16"/>
  </w:num>
  <w:num w:numId="18">
    <w:abstractNumId w:val="15"/>
  </w:num>
  <w:num w:numId="19">
    <w:abstractNumId w:val="14"/>
  </w:num>
  <w:num w:numId="20">
    <w:abstractNumId w:val="0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0E"/>
    <w:rsid w:val="000143E9"/>
    <w:rsid w:val="00016AD0"/>
    <w:rsid w:val="000570FD"/>
    <w:rsid w:val="000A61DE"/>
    <w:rsid w:val="000B2331"/>
    <w:rsid w:val="000D508A"/>
    <w:rsid w:val="000D753C"/>
    <w:rsid w:val="000F69A8"/>
    <w:rsid w:val="00100215"/>
    <w:rsid w:val="00192A8A"/>
    <w:rsid w:val="001E4CD9"/>
    <w:rsid w:val="00234E66"/>
    <w:rsid w:val="00236EB7"/>
    <w:rsid w:val="002564B7"/>
    <w:rsid w:val="0026091B"/>
    <w:rsid w:val="0026556A"/>
    <w:rsid w:val="00290EA0"/>
    <w:rsid w:val="002A548C"/>
    <w:rsid w:val="0030483D"/>
    <w:rsid w:val="00340F38"/>
    <w:rsid w:val="003538C3"/>
    <w:rsid w:val="003957F4"/>
    <w:rsid w:val="003A4417"/>
    <w:rsid w:val="003A69BC"/>
    <w:rsid w:val="003B7079"/>
    <w:rsid w:val="003E2315"/>
    <w:rsid w:val="003E32E6"/>
    <w:rsid w:val="003E4293"/>
    <w:rsid w:val="003F1A2E"/>
    <w:rsid w:val="003F55DE"/>
    <w:rsid w:val="004003A7"/>
    <w:rsid w:val="00414075"/>
    <w:rsid w:val="00422CFF"/>
    <w:rsid w:val="00444792"/>
    <w:rsid w:val="0045071E"/>
    <w:rsid w:val="004A14A9"/>
    <w:rsid w:val="004B4665"/>
    <w:rsid w:val="004B55A8"/>
    <w:rsid w:val="004B6E4F"/>
    <w:rsid w:val="004F2B20"/>
    <w:rsid w:val="005A0A1C"/>
    <w:rsid w:val="005B4FB8"/>
    <w:rsid w:val="00610D88"/>
    <w:rsid w:val="00642350"/>
    <w:rsid w:val="00695564"/>
    <w:rsid w:val="006B75D1"/>
    <w:rsid w:val="006F74F4"/>
    <w:rsid w:val="007405B7"/>
    <w:rsid w:val="00751470"/>
    <w:rsid w:val="0077450D"/>
    <w:rsid w:val="007D18D9"/>
    <w:rsid w:val="007F5774"/>
    <w:rsid w:val="0087123C"/>
    <w:rsid w:val="00895070"/>
    <w:rsid w:val="008B58BD"/>
    <w:rsid w:val="008C0C00"/>
    <w:rsid w:val="008E7E22"/>
    <w:rsid w:val="00913A54"/>
    <w:rsid w:val="00967A5D"/>
    <w:rsid w:val="009854B5"/>
    <w:rsid w:val="00997E9A"/>
    <w:rsid w:val="009C3AB4"/>
    <w:rsid w:val="009F3995"/>
    <w:rsid w:val="00A040FD"/>
    <w:rsid w:val="00A04F82"/>
    <w:rsid w:val="00A06107"/>
    <w:rsid w:val="00A66FA9"/>
    <w:rsid w:val="00A71ACA"/>
    <w:rsid w:val="00A830CA"/>
    <w:rsid w:val="00AA7E1A"/>
    <w:rsid w:val="00AB64C3"/>
    <w:rsid w:val="00B301E6"/>
    <w:rsid w:val="00B331D2"/>
    <w:rsid w:val="00B33E4D"/>
    <w:rsid w:val="00B6040D"/>
    <w:rsid w:val="00BB6ADC"/>
    <w:rsid w:val="00C745DD"/>
    <w:rsid w:val="00C74A00"/>
    <w:rsid w:val="00C8059F"/>
    <w:rsid w:val="00C85E1E"/>
    <w:rsid w:val="00CF26A5"/>
    <w:rsid w:val="00CF76E2"/>
    <w:rsid w:val="00D14FC1"/>
    <w:rsid w:val="00D233F9"/>
    <w:rsid w:val="00D7341B"/>
    <w:rsid w:val="00DC560E"/>
    <w:rsid w:val="00E06972"/>
    <w:rsid w:val="00E43B7D"/>
    <w:rsid w:val="00E53751"/>
    <w:rsid w:val="00E62721"/>
    <w:rsid w:val="00E7456C"/>
    <w:rsid w:val="00F51E43"/>
    <w:rsid w:val="00F94175"/>
    <w:rsid w:val="00FB7C7C"/>
    <w:rsid w:val="00FF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BF720-3D2F-4E4D-86A9-B45B26CD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next w:val="Normlny"/>
    <w:qFormat/>
    <w:rsid w:val="00D7341B"/>
    <w:pPr>
      <w:keepNext/>
      <w:spacing w:line="300" w:lineRule="exact"/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rsid w:val="00E627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D233F9"/>
    <w:pPr>
      <w:tabs>
        <w:tab w:val="center" w:pos="4536"/>
        <w:tab w:val="right" w:pos="9072"/>
      </w:tabs>
    </w:pPr>
    <w:rPr>
      <w:rFonts w:ascii="Arial" w:hAnsi="Arial"/>
      <w:szCs w:val="20"/>
      <w:lang w:val="cs-CZ" w:eastAsia="cs-CZ"/>
    </w:rPr>
  </w:style>
  <w:style w:type="paragraph" w:styleId="Zkladntext">
    <w:name w:val="Body Text"/>
    <w:basedOn w:val="Normlny"/>
    <w:rsid w:val="00D233F9"/>
    <w:pPr>
      <w:spacing w:after="120"/>
    </w:pPr>
    <w:rPr>
      <w:lang w:eastAsia="cs-CZ"/>
    </w:rPr>
  </w:style>
  <w:style w:type="paragraph" w:styleId="Zkladntext2">
    <w:name w:val="Body Text 2"/>
    <w:basedOn w:val="Normlny"/>
    <w:rsid w:val="00D233F9"/>
    <w:pPr>
      <w:spacing w:after="120" w:line="480" w:lineRule="auto"/>
    </w:pPr>
    <w:rPr>
      <w:rFonts w:ascii="AT*Switzerland" w:hAnsi="AT*Switzerland"/>
      <w:szCs w:val="20"/>
    </w:rPr>
  </w:style>
  <w:style w:type="paragraph" w:styleId="Pta">
    <w:name w:val="footer"/>
    <w:basedOn w:val="Normlny"/>
    <w:rsid w:val="00C74A00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C74A00"/>
  </w:style>
  <w:style w:type="paragraph" w:styleId="Odsekzoznamu">
    <w:name w:val="List Paragraph"/>
    <w:basedOn w:val="Normlny"/>
    <w:uiPriority w:val="34"/>
    <w:qFormat/>
    <w:rsid w:val="006F74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2">
    <w:name w:val="odst2"/>
    <w:basedOn w:val="Normlny"/>
    <w:rsid w:val="008E7E22"/>
    <w:pPr>
      <w:ind w:left="907"/>
      <w:jc w:val="both"/>
    </w:pPr>
    <w:rPr>
      <w:rFonts w:ascii="Arial Narrow" w:hAnsi="Arial Narrow"/>
      <w:w w:val="115"/>
      <w:sz w:val="22"/>
      <w:szCs w:val="20"/>
      <w:lang w:eastAsia="cs-CZ"/>
    </w:rPr>
  </w:style>
  <w:style w:type="paragraph" w:customStyle="1" w:styleId="Normln">
    <w:name w:val="Normální~~~"/>
    <w:basedOn w:val="Normlny"/>
    <w:rsid w:val="00B301E6"/>
    <w:pPr>
      <w:widowControl w:val="0"/>
      <w:spacing w:after="60"/>
    </w:pPr>
    <w:rPr>
      <w:rFonts w:ascii="Arial Narrow" w:hAnsi="Arial Narrow"/>
      <w:noProof/>
      <w:sz w:val="20"/>
      <w:szCs w:val="20"/>
    </w:rPr>
  </w:style>
  <w:style w:type="paragraph" w:customStyle="1" w:styleId="Odstavecseseznamem">
    <w:name w:val="Odstavec se seznamem"/>
    <w:basedOn w:val="Normlny"/>
    <w:qFormat/>
    <w:rsid w:val="00B301E6"/>
    <w:pPr>
      <w:spacing w:after="160" w:line="259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rsid w:val="00AA7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C805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C805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CAB43-36A2-4594-B369-A859181E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15</Pages>
  <Words>5133</Words>
  <Characters>29261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vydanie stavebného povolenia</vt:lpstr>
    </vt:vector>
  </TitlesOfParts>
  <Company>Duslo a.s.</Company>
  <LinksUpToDate>false</LinksUpToDate>
  <CharactersWithSpaces>34326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stavebného povolenia</dc:title>
  <dc:subject/>
  <dc:creator>Jarmila Faktorová</dc:creator>
  <cp:keywords/>
  <dc:description/>
  <cp:lastModifiedBy>Moldová Jana</cp:lastModifiedBy>
  <cp:revision>12</cp:revision>
  <cp:lastPrinted>2015-06-22T09:26:00Z</cp:lastPrinted>
  <dcterms:created xsi:type="dcterms:W3CDTF">2015-05-19T07:20:00Z</dcterms:created>
  <dcterms:modified xsi:type="dcterms:W3CDTF">2015-06-22T09:26:00Z</dcterms:modified>
</cp:coreProperties>
</file>