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KÚPNA ZMLUVA</w:t>
      </w:r>
    </w:p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uzatvorená podľa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§ 409 a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Obchodného zákonníka – zákona č. 513/1991 Zb. v znení neskorších predpisov.</w:t>
      </w:r>
    </w:p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5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45066F" w:rsidRDefault="0045066F" w:rsidP="004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Kupujúci: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Obec Močenok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Roman Urbánik, starosta obce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Obecný úrad, Sv. Gorazda 629/82, 951 31 Močenok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00 308 439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20 21 25 27 94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VÚB banka, a.s.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 IBAN:</w:t>
      </w:r>
      <w:r>
        <w:rPr>
          <w:rFonts w:ascii="Times New Roman" w:hAnsi="Times New Roman" w:cs="Times New Roman"/>
          <w:sz w:val="24"/>
          <w:szCs w:val="24"/>
        </w:rPr>
        <w:tab/>
        <w:t>SK95 0200 0000 0023 7244 6256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Telefón: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+421376552370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starosta@mocenok.sk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ako ,,kupujúci“)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Predávajúci: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 pre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 IBAN: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Telefón: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E-mail: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Zapísaný v .............registri v ...............oddiel............. pod č..........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ako ,,predávajúci“)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na obstaranie predmetu tejto kúpnej zmluvy použil postup verejného obstarávania podľa § 117 zákona č. 343/2015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plnenia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Predmetom plnenia zákazky s názvom: ,,Zvyšovanie bezpečnosti v obci Močenok – rozšírenie kamerového systému VI .“ je dodanie, montáž, následné uvedenie do prevádzky </w:t>
      </w:r>
      <w:r>
        <w:rPr>
          <w:rFonts w:ascii="Times New Roman" w:hAnsi="Times New Roman" w:cs="Times New Roman"/>
          <w:sz w:val="24"/>
          <w:szCs w:val="24"/>
        </w:rPr>
        <w:lastRenderedPageBreak/>
        <w:t>a zaškolenie zamestnancov kupujúceho podľa výzvy na predkladanie cenových ponúk a predl</w:t>
      </w:r>
      <w:r w:rsidR="00130CF3">
        <w:rPr>
          <w:rFonts w:ascii="Times New Roman" w:hAnsi="Times New Roman" w:cs="Times New Roman"/>
          <w:sz w:val="24"/>
          <w:szCs w:val="24"/>
        </w:rPr>
        <w:t>oženej cenovej ponuky zo dňa ..................................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CF3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="00130CF3">
        <w:rPr>
          <w:rFonts w:ascii="Times New Roman" w:hAnsi="Times New Roman" w:cs="Times New Roman"/>
          <w:sz w:val="24"/>
          <w:szCs w:val="24"/>
        </w:rPr>
        <w:t>Predávajúci prehlasuje, že táto zmluva je v súlade s podmienkami určenými vo výzve</w:t>
      </w:r>
      <w:r w:rsidR="00913D83">
        <w:rPr>
          <w:rFonts w:ascii="Times New Roman" w:hAnsi="Times New Roman" w:cs="Times New Roman"/>
          <w:sz w:val="24"/>
          <w:szCs w:val="24"/>
        </w:rPr>
        <w:t xml:space="preserve"> vypracovanej objednávateľom.</w:t>
      </w:r>
    </w:p>
    <w:p w:rsidR="00130CF3" w:rsidRDefault="00130CF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130CF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      </w:t>
      </w:r>
      <w:r w:rsidR="0045066F">
        <w:rPr>
          <w:rFonts w:ascii="Times New Roman" w:hAnsi="Times New Roman" w:cs="Times New Roman"/>
          <w:sz w:val="24"/>
          <w:szCs w:val="24"/>
        </w:rPr>
        <w:t>Predávajúci dodá predmet zákazky vo vlastnom mene a na vlastnú zodpovednosť.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913D8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5066F">
        <w:rPr>
          <w:rFonts w:ascii="Times New Roman" w:hAnsi="Times New Roman" w:cs="Times New Roman"/>
          <w:sz w:val="24"/>
          <w:szCs w:val="24"/>
        </w:rPr>
        <w:tab/>
        <w:t>Predávajúci podpisom tejto zmluvy vyhlasuje, že predmet kúpy je v jeho výlučnom vlastníctve a nie je zaťažený právom tretej osoby.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913D8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5066F">
        <w:rPr>
          <w:rFonts w:ascii="Times New Roman" w:hAnsi="Times New Roman" w:cs="Times New Roman"/>
          <w:sz w:val="24"/>
          <w:szCs w:val="24"/>
        </w:rPr>
        <w:tab/>
        <w:t>Predávajúci sa zaväzuje dodať včas a riadne predmet plnenia kupujúcemu a kupujúci sa zaväzuje predmet zmluvy od predávajúceho prevziať a zaplatiť dohodnutú zmluvnú cenu v celom rozsahu za platobných podmienok dohodnutých v Čl. VI. tejto zmluvy.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913D8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5066F">
        <w:rPr>
          <w:rFonts w:ascii="Times New Roman" w:hAnsi="Times New Roman" w:cs="Times New Roman"/>
          <w:sz w:val="24"/>
          <w:szCs w:val="24"/>
        </w:rPr>
        <w:tab/>
        <w:t>Predávajúci sa zaväzuje, že systém bude  po technickej stránke inštalovaný a nastavený tak, že neumožní porušenie zákona o ochrane osobných údajov</w:t>
      </w:r>
      <w:r w:rsidR="00130CF3">
        <w:rPr>
          <w:rFonts w:ascii="Times New Roman" w:hAnsi="Times New Roman" w:cs="Times New Roman"/>
          <w:sz w:val="24"/>
          <w:szCs w:val="24"/>
        </w:rPr>
        <w:t>, resp</w:t>
      </w:r>
      <w:r w:rsidR="0045066F">
        <w:rPr>
          <w:rFonts w:ascii="Times New Roman" w:hAnsi="Times New Roman" w:cs="Times New Roman"/>
          <w:sz w:val="24"/>
          <w:szCs w:val="24"/>
        </w:rPr>
        <w:t>.</w:t>
      </w:r>
      <w:r w:rsidR="00130CF3">
        <w:rPr>
          <w:rFonts w:ascii="Times New Roman" w:hAnsi="Times New Roman" w:cs="Times New Roman"/>
          <w:sz w:val="24"/>
          <w:szCs w:val="24"/>
        </w:rPr>
        <w:t xml:space="preserve"> iných platných predpisov.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913D8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5066F">
        <w:rPr>
          <w:rFonts w:ascii="Times New Roman" w:hAnsi="Times New Roman" w:cs="Times New Roman"/>
          <w:sz w:val="24"/>
          <w:szCs w:val="24"/>
        </w:rPr>
        <w:tab/>
        <w:t>Bližšia špecifikácia predmetu plnenia je uvedená v prílohe č. 1 tejto zmluvy.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913D83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5066F">
        <w:rPr>
          <w:rFonts w:ascii="Times New Roman" w:hAnsi="Times New Roman" w:cs="Times New Roman"/>
          <w:sz w:val="24"/>
          <w:szCs w:val="24"/>
        </w:rPr>
        <w:tab/>
        <w:t xml:space="preserve">Predávajúci prehlasuje, že je vlastníkom licencie na prevádzkovanie technickej služby na ochranu majetku a osoby definuje zákon č. 473/2005 </w:t>
      </w:r>
      <w:proofErr w:type="spellStart"/>
      <w:r w:rsidR="0045066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45066F">
        <w:rPr>
          <w:rFonts w:ascii="Times New Roman" w:hAnsi="Times New Roman" w:cs="Times New Roman"/>
          <w:sz w:val="24"/>
          <w:szCs w:val="24"/>
        </w:rPr>
        <w:t>. o poskytovaní služieb v oblasti súkromnej bezpečnosti (zákon o súkromnej bezpečnosti) v znení neskorších predpisov (ďalej ak ako ,,zákon o súkromnej bezpečnosti“). Zákon o súkromnej bezpečnosti definuje súkromnú bezpečnosť ako poskytovanie súkromnej bezpečnostnej služby alebo poskytovanie technickej služby.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 a miesto dodania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Predávajúci uskutoční plnenie predmetu zmluvy riadne a včas v c</w:t>
      </w:r>
      <w:r w:rsidR="00A432D1">
        <w:rPr>
          <w:rFonts w:ascii="Times New Roman" w:hAnsi="Times New Roman" w:cs="Times New Roman"/>
          <w:sz w:val="24"/>
          <w:szCs w:val="24"/>
        </w:rPr>
        <w:t>elom rozsahu – do dvoch mesiacov od účinnosti tejto zmluvy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Dohodnutým miestom dodania je Obec Močenok a to: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 xml:space="preserve">Areál Materskej školy, ul. Vinohradská – osadenie 1 ks statickej kamery na stenu budovy, ktorá bude snímať hlavný chodník a vstup 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 xml:space="preserve">Areál Materskej školy, ul. Vinohradská – osadenie 1  ks statickej kamery na </w:t>
      </w:r>
      <w:proofErr w:type="spellStart"/>
      <w:r>
        <w:rPr>
          <w:rFonts w:eastAsia="Calibri"/>
          <w:color w:val="000000"/>
          <w:sz w:val="24"/>
          <w:szCs w:val="24"/>
          <w:lang w:eastAsia="en-US" w:bidi="ar-SA"/>
        </w:rPr>
        <w:t>stĺ</w:t>
      </w:r>
      <w:proofErr w:type="spellEnd"/>
      <w:r>
        <w:rPr>
          <w:rFonts w:eastAsia="Calibri"/>
          <w:color w:val="000000"/>
          <w:sz w:val="24"/>
          <w:szCs w:val="24"/>
          <w:lang w:eastAsia="en-US" w:bidi="ar-SA"/>
        </w:rPr>
        <w:t xml:space="preserve"> pri chodníku z parkoviska, ktorá bude snímať vstup do areálu z parkoviska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383CC8">
        <w:rPr>
          <w:rFonts w:eastAsia="Calibri"/>
          <w:color w:val="000000"/>
          <w:sz w:val="24"/>
          <w:szCs w:val="24"/>
          <w:lang w:eastAsia="en-US" w:bidi="ar-SA"/>
        </w:rPr>
        <w:t xml:space="preserve">Areál </w:t>
      </w:r>
      <w:r>
        <w:rPr>
          <w:rFonts w:eastAsia="Calibri"/>
          <w:color w:val="000000"/>
          <w:sz w:val="24"/>
          <w:szCs w:val="24"/>
          <w:lang w:eastAsia="en-US" w:bidi="ar-SA"/>
        </w:rPr>
        <w:t>M</w:t>
      </w:r>
      <w:r w:rsidRPr="00383CC8">
        <w:rPr>
          <w:rFonts w:eastAsia="Calibri"/>
          <w:color w:val="000000"/>
          <w:sz w:val="24"/>
          <w:szCs w:val="24"/>
          <w:lang w:eastAsia="en-US" w:bidi="ar-SA"/>
        </w:rPr>
        <w:t>aterskej školy, ul. Vinohradská – osadenie 1 ks statickej kamery na stĺp smerom k</w:t>
      </w:r>
      <w:r>
        <w:rPr>
          <w:rFonts w:eastAsia="Calibri"/>
          <w:color w:val="000000"/>
          <w:sz w:val="24"/>
          <w:szCs w:val="24"/>
          <w:lang w:eastAsia="en-US" w:bidi="ar-SA"/>
        </w:rPr>
        <w:t> ul. Nitrianska, ktorá bude snímať dvor od hlavnej brány a vstupy do kuchyne a kotolne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Areál Materskej školy, ul. Vinohradská – osadenie 1 ks statickej kamery na stĺp pri detskom ihrisku, ktorá bude snímať detské a dopravné ihrisko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Zdravotné stredisko, ul. Mlynská – osadenie 1 ks statickej kamery na stenu lekárne, ktorá bude snímať parkovisko pred zdravotným strediskom a vstupnú bránu do areálu zdravotného strediska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lastRenderedPageBreak/>
        <w:t>Lokalita Obecný úrad, ul. Sv. Gorazda – osadenie 1 ks statickej kamery na stenu obecného úradu, ktorá bude snímať zadný vchod do budovy obecného úradu a pošty, parkovisko a garáže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areálu Základnej školy, ul. Školská – osadenie 1 ks otočnej kamery na stĺp na dvore školy, ktorá bude snímať areál základnej školy, vstup do druhej a tretej budovy, telocvične a družiny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Centrum obce – pri fontáne, ul. Sv. Gorazda – osadenie 1 ks otočnej kamery na stĺp, ktorá bude snímať centrum obce, chodník od Hornej Kráľovej, chodník na ul. Školskej, trhovisko, fontánu, okolité predajne a chodník k obecnému úradu  (smer Šaľa)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Kultúrne stredisko – kláštor, ul. Školská – osadenie 1 ks otočnej kamery na stĺp pri detskom ihrisku, ktorá bude snímať časť parku, detské ihrisko, hlavný vstup do budovy, parkovisko a priestor pred budovou, hokejbalové ihrisko a zadnú časť telocvične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 xml:space="preserve">Lokalita pri križovatke ulíc Nitrianska a Sv. Gorazda – osadenie 1 ks otočnej kamery na stĺp, ktorá bude snímať ulicu Nitriansku, ulicu Sv. Gorazda a ul. Hájska, kultúrny dom, parkovisko pred kultúrnym domom, predajňu </w:t>
      </w:r>
      <w:proofErr w:type="spellStart"/>
      <w:r>
        <w:rPr>
          <w:rFonts w:eastAsia="Calibri"/>
          <w:color w:val="000000"/>
          <w:sz w:val="24"/>
          <w:szCs w:val="24"/>
          <w:lang w:eastAsia="en-US" w:bidi="ar-SA"/>
        </w:rPr>
        <w:t>železoobchodu</w:t>
      </w:r>
      <w:proofErr w:type="spellEnd"/>
      <w:r>
        <w:rPr>
          <w:rFonts w:eastAsia="Calibri"/>
          <w:color w:val="000000"/>
          <w:sz w:val="24"/>
          <w:szCs w:val="24"/>
          <w:lang w:eastAsia="en-US" w:bidi="ar-SA"/>
        </w:rPr>
        <w:t>, reštauráciu Vesna a bar Imro</w:t>
      </w:r>
    </w:p>
    <w:p w:rsidR="00A432D1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areálu obecného úradu, ul. Sv. Gorazda – osadenie 1 ks otočnej kamery na stĺp, ktorá bude snímať hlavný vchod do budovy, priestor pred obecným úradom, poštou, bankomatmi, vchod do kultúrneho domu a fit park</w:t>
      </w:r>
    </w:p>
    <w:p w:rsidR="00A432D1" w:rsidRPr="00DC7D1B" w:rsidRDefault="00A432D1" w:rsidP="00A432D1">
      <w:pPr>
        <w:pStyle w:val="Odsekzoznamu"/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Lokalita pred obchodným domom Jednota, ul. Sv. Gorazda – osadenie 1 ks otočnej kamery na stĺp, ktorá bude snímať vchod do obchodu, parkovisko, predajne cez cestu (oproti Jednote), autobusové zastávky, chodník od Hornej Kráľovej a ulicu Sv. Gorazda.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D1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>Prevzatie predmetu plnenia sa potvrdí a uvedie v ,,Protokole o prevzatí  a odovzdaní predmetu plnenia“. Protokol bude vyhotovený v dvoch vyhotoveniach, po jednom pre každú zmluvnú stranu.</w:t>
      </w:r>
      <w:r w:rsidR="00A432D1">
        <w:rPr>
          <w:rFonts w:ascii="Times New Roman" w:hAnsi="Times New Roman" w:cs="Times New Roman"/>
          <w:sz w:val="24"/>
          <w:szCs w:val="24"/>
        </w:rPr>
        <w:t xml:space="preserve"> Preberací protokol bude obsahovať min.:</w:t>
      </w:r>
    </w:p>
    <w:p w:rsidR="00A432D1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presné označenie dodávateľa vrátane príslušenstva</w:t>
      </w:r>
    </w:p>
    <w:p w:rsidR="00A432D1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dátum, čas a miesto odovzdania</w:t>
      </w:r>
    </w:p>
    <w:p w:rsidR="00A432D1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dátum, čas a miesto montáže, uvedenia do prevádzky</w:t>
      </w:r>
    </w:p>
    <w:p w:rsidR="00A432D1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začiatok a koniec skúšobnej prevádzky (dva týždne odo dňa prevzatia premetu plnenia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nedorobkov), ktorá overí funkčnosť predmetu plnenia aj s už existujúcim systémov</w:t>
      </w:r>
    </w:p>
    <w:p w:rsidR="00A432D1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prehlásenie predávajúceho, že predmet plnenia je v súlade s touto zmluvou, a že je spôsobilý na prevádzku a po technickej stránke je inštalovaný a nastavený tak, že neumožní porušenie zákona o ochrane osobných údajov</w:t>
      </w:r>
    </w:p>
    <w:p w:rsidR="00AB73F9" w:rsidRDefault="00A432D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AB73F9">
        <w:rPr>
          <w:rFonts w:ascii="Times New Roman" w:hAnsi="Times New Roman" w:cs="Times New Roman"/>
          <w:sz w:val="24"/>
          <w:szCs w:val="24"/>
        </w:rPr>
        <w:t>označenie osôb, ktoré predmet plnenia odovzdávajú, a ktoré predmet plnenia preberajú uvedením ich mena</w:t>
      </w:r>
    </w:p>
    <w:p w:rsidR="00AB73F9" w:rsidRDefault="00AB73F9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presnú špecifikáciu odovzdávajúceho tovaru a dokumentáciu k nemu (vrátane príslušenstva)</w:t>
      </w:r>
    </w:p>
    <w:p w:rsidR="00AB73F9" w:rsidRDefault="00AB73F9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podpisy odovzdávajúcich a preberajúcich osôb vrátane dátumu odovzdania a prevzatia celého predmetu plnenia</w:t>
      </w:r>
    </w:p>
    <w:p w:rsidR="00AB73F9" w:rsidRDefault="00AB73F9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mená, heslá a IP adresy všetkých inštalovaných zariadení.</w:t>
      </w:r>
    </w:p>
    <w:p w:rsidR="0045066F" w:rsidRDefault="00AB73F9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 o odovzdaní a prevzatí tovaru bude vyhotovený v dvoch vyhotoveniach, po jednom pre každú stranu. </w:t>
      </w:r>
      <w:r w:rsidR="00A43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3F9" w:rsidRDefault="00AB73F9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>
        <w:rPr>
          <w:rFonts w:ascii="Times New Roman" w:hAnsi="Times New Roman" w:cs="Times New Roman"/>
          <w:sz w:val="24"/>
          <w:szCs w:val="24"/>
        </w:rPr>
        <w:tab/>
        <w:t xml:space="preserve">Oprávnená osoba kupujúceho má právo prezrieť tovar a  jeho stav vizuálnou kontrolou, vrátane príslušenstva a výbavy, zároveň má právo preveriť, či zodpovedá zmluve </w:t>
      </w:r>
      <w:r w:rsidRPr="00AB73F9">
        <w:rPr>
          <w:rFonts w:ascii="Times New Roman" w:hAnsi="Times New Roman" w:cs="Times New Roman"/>
          <w:sz w:val="24"/>
          <w:szCs w:val="24"/>
        </w:rPr>
        <w:t>a špecifikácii uvedenej v prílohe č. 1. Uvedené právo kontroly však nezbavuje predávajúceho</w:t>
      </w:r>
      <w:r>
        <w:rPr>
          <w:rFonts w:ascii="Times New Roman" w:hAnsi="Times New Roman" w:cs="Times New Roman"/>
          <w:sz w:val="24"/>
          <w:szCs w:val="24"/>
        </w:rPr>
        <w:t xml:space="preserve"> zodpovednosti za riadne a včasné dodanie tovaru. V prípade zjavných nedostatkov má právo kupujúci požadovať ich okamžité odstránenie (do 48 hodín). Pokiaľ kupujúci zistí, že odovzdávaný tovar nezodpovedá špecifikácii v prílohe č. 1 tejto zmluvy, podmienkam stanoveným vo verejnom obstarávaní alebo tovar bude odovzdávaný bez požadovaných dokladov, je kupujúci oprávnený neprevziať tovar a dohodnúť s predávajúcim náhradný termín jeho odovzdania, pričom termín dodania celého predmetu zmluvy musí byť dodržaný.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  <w:t>Predávajúci vyrozumie kupujúceho o odovzdaní predmetu plnenia min.</w:t>
      </w:r>
      <w:r w:rsidR="00B56118">
        <w:rPr>
          <w:rFonts w:ascii="Times New Roman" w:hAnsi="Times New Roman" w:cs="Times New Roman"/>
          <w:sz w:val="24"/>
          <w:szCs w:val="24"/>
        </w:rPr>
        <w:t xml:space="preserve"> 3 dni </w:t>
      </w:r>
      <w:r>
        <w:rPr>
          <w:rFonts w:ascii="Times New Roman" w:hAnsi="Times New Roman" w:cs="Times New Roman"/>
          <w:sz w:val="24"/>
          <w:szCs w:val="24"/>
        </w:rPr>
        <w:t xml:space="preserve"> vopred. Predávajúci je povinný kupujúcemu zároveň pri odovzdaní predmetu zákazky odovzdať certifikáty, záručné listy na dodávané produkty,</w:t>
      </w:r>
      <w:r w:rsidR="00B56118">
        <w:rPr>
          <w:rFonts w:ascii="Times New Roman" w:hAnsi="Times New Roman" w:cs="Times New Roman"/>
          <w:sz w:val="24"/>
          <w:szCs w:val="24"/>
        </w:rPr>
        <w:t xml:space="preserve"> mená, heslá a IP adresy všetkých inštalačných zariadení.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  <w:t>Jednotlivé produkty budú odovzdané kupujúcemu v riadnom technickom st</w:t>
      </w:r>
      <w:r w:rsidRPr="00AB73F9">
        <w:rPr>
          <w:rFonts w:ascii="Times New Roman" w:hAnsi="Times New Roman" w:cs="Times New Roman"/>
          <w:sz w:val="24"/>
          <w:szCs w:val="24"/>
        </w:rPr>
        <w:t>ave a spôsobilé na prevádzku. Odovzdané budú spolu s dokladmi na prevádzku.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  <w:t xml:space="preserve">Oprávnenou osobou kupujúceho na potvrdenie dodania predmetu plnenia zmluvy je </w:t>
      </w:r>
      <w:r w:rsidR="00AB73F9">
        <w:rPr>
          <w:rFonts w:ascii="Times New Roman" w:hAnsi="Times New Roman" w:cs="Times New Roman"/>
          <w:sz w:val="24"/>
          <w:szCs w:val="24"/>
        </w:rPr>
        <w:t>Mgr. Peter Sýkora, zástupca starostu obce</w:t>
      </w:r>
      <w:r>
        <w:rPr>
          <w:rFonts w:ascii="Times New Roman" w:hAnsi="Times New Roman" w:cs="Times New Roman"/>
          <w:sz w:val="24"/>
          <w:szCs w:val="24"/>
        </w:rPr>
        <w:t xml:space="preserve"> Močenok.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Celková cena za predmet zákazky podľa čl. III. a čl. IV. vrátane dopravy na miesto určenia je výsledkom prieskumom trhu je stanovená ako cena pevná vo výške: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bez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118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sadzba DPH a výška DPH:</w:t>
      </w:r>
      <w:r>
        <w:rPr>
          <w:rFonts w:ascii="Times New Roman" w:hAnsi="Times New Roman" w:cs="Times New Roman"/>
          <w:sz w:val="24"/>
          <w:szCs w:val="24"/>
        </w:rPr>
        <w:tab/>
      </w:r>
      <w:r w:rsidR="00B56118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5066F" w:rsidRDefault="00B56118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spolu s 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</w:t>
      </w:r>
      <w:r w:rsidR="0045066F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</w:t>
      </w:r>
      <w:r w:rsidR="00B56118">
        <w:rPr>
          <w:rFonts w:ascii="Times New Roman" w:hAnsi="Times New Roman" w:cs="Times New Roman"/>
          <w:sz w:val="24"/>
          <w:szCs w:val="24"/>
        </w:rPr>
        <w:t xml:space="preserve">ovom: 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Zmluvná cena je stanovená dohodou zmluvných strán podľa zákona č. 18/1996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cenách v znení neskorších predpisov a vyhlášky č. 87/1996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ktorou sa vykonáva zákon č. 18/1996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cenách v znení neskorších predpisov a považuje sa za maximálnu pevnú cenu platnú počas celej doby vykonávania Diela.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rozpočet </w:t>
      </w:r>
      <w:r w:rsidR="00B56118">
        <w:rPr>
          <w:rFonts w:ascii="Times New Roman" w:hAnsi="Times New Roman" w:cs="Times New Roman"/>
          <w:sz w:val="24"/>
          <w:szCs w:val="24"/>
        </w:rPr>
        <w:t xml:space="preserve">vrátane špecifikácie </w:t>
      </w:r>
      <w:r>
        <w:rPr>
          <w:rFonts w:ascii="Times New Roman" w:hAnsi="Times New Roman" w:cs="Times New Roman"/>
          <w:sz w:val="24"/>
          <w:szCs w:val="24"/>
        </w:rPr>
        <w:t xml:space="preserve">predmetu plnenia tvorí prílohu č. 1 tejto zmluvy. 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Platobné podmienky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Projekt bol finančne podporený Radou vlády Slovenskej republiky pre prevenciu kriminality. Predmet zákazky bude financovaný z dotácie zo štátneho rozpočtu Slovenskej republiky na rok 201</w:t>
      </w:r>
      <w:r w:rsidR="00B561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na zabezpečenie úloh prevencie kriminality poskytnutej </w:t>
      </w:r>
      <w:r>
        <w:rPr>
          <w:rFonts w:ascii="Times New Roman" w:hAnsi="Times New Roman" w:cs="Times New Roman"/>
          <w:sz w:val="24"/>
          <w:szCs w:val="24"/>
        </w:rPr>
        <w:lastRenderedPageBreak/>
        <w:t>prost</w:t>
      </w:r>
      <w:r w:rsidR="00B56118">
        <w:rPr>
          <w:rFonts w:ascii="Times New Roman" w:hAnsi="Times New Roman" w:cs="Times New Roman"/>
          <w:sz w:val="24"/>
          <w:szCs w:val="24"/>
        </w:rPr>
        <w:t>redníctvom Ministerstva vnútra S</w:t>
      </w:r>
      <w:r>
        <w:rPr>
          <w:rFonts w:ascii="Times New Roman" w:hAnsi="Times New Roman" w:cs="Times New Roman"/>
          <w:sz w:val="24"/>
          <w:szCs w:val="24"/>
        </w:rPr>
        <w:t>lovenskej republiky – Okresného úradu Nitra v zmysle Zmluvy č. 15/NR/2016 o poskytnutí dotácie v oblasti prevencie kriminality zo štátneho rozpočtu Slovenskej republiky na rok 201</w:t>
      </w:r>
      <w:r w:rsidR="00B561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 z vlastných prostriedkov kupujúceho. Kupujúci neposkytne predávajúcemu zálohu na predmet plnenia.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 xml:space="preserve">Kupujúci sa zaväzuje za predmet plnenia zaplatiť na základe faktúr vystavených predávajúcim, ktoré budú splatné 30 dní odo dňa ich doručenia kupujúcemu. Predávajúci je oprávnený vystaviť tieto faktúry najskôr v deň prevzatia predmetu plnenia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nedorobkov, po úspešnej skúšobnej prevádzke a zaškolení zamestnancov kupujúceho. Súčasťou faktúr bude súpis dodávok, príslušenstva a vykonaných prác a činností vrátane potvrdenia o úspešnej skúšobnej prevádzke, oba doklady potvrdené oprávnenou osobou kupujúceho</w:t>
      </w:r>
      <w:r w:rsidR="00B56118">
        <w:rPr>
          <w:rFonts w:ascii="Times New Roman" w:hAnsi="Times New Roman" w:cs="Times New Roman"/>
          <w:sz w:val="24"/>
          <w:szCs w:val="24"/>
        </w:rPr>
        <w:t>, Mgr. Petrom Sýkorom, zástupcom starostu obce Močenok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  <w:t xml:space="preserve">Faktúra okrem náležitostí v zmysle platných účtovných a daňových predpisov bude obsahovať aj názov projektu: ,,Zvyšovanie bezpečnosti v obci Močenok – rozšírenie kamerového systému </w:t>
      </w:r>
      <w:r w:rsidR="00B56118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ab/>
        <w:t>Predmet plnenia sa stáva majetkom kupujúceho dňom uhradenia jeho kúpnej ceny určenej v bode 5.1 č</w:t>
      </w:r>
      <w:r w:rsidR="00B56118">
        <w:rPr>
          <w:rFonts w:ascii="Times New Roman" w:hAnsi="Times New Roman" w:cs="Times New Roman"/>
          <w:sz w:val="24"/>
          <w:szCs w:val="24"/>
        </w:rPr>
        <w:t>lánku</w:t>
      </w:r>
      <w:r>
        <w:rPr>
          <w:rFonts w:ascii="Times New Roman" w:hAnsi="Times New Roman" w:cs="Times New Roman"/>
          <w:sz w:val="24"/>
          <w:szCs w:val="24"/>
        </w:rPr>
        <w:t xml:space="preserve"> V. tejto zmluvy.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záruka za akosť a záručný servis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zodpovedá za predmet plnenia podľa všeobecne záväzných platných právnych predpisov a v zmysle tejto zmluvy po stránke jeho úplnosti, prevádzkovej spôsobilosti a spoľahlivosti v záručnej dobe min. 24 mesiacov. Záručná doba začne plynúť odo dňa protokolárneho prevzatia predmetu plnenia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 kupujúcim, po úspešnej skúšobnej prevádzke  a zaškolení zamestnancov kupujúceho. Záručná doba sa predlžuje o dobu, v ktorej nemohol kupujúci predmet plnenia v záručnej dobe užívať z dôvodu odstraňovania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ktoré sa záruka vzťahuje. V prípade dodania nového zariadenia dodaného z dôvodu neodstránenia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uplatnených v rámci reklamácia kupujúcim, záručná doba začína plynúť od začiatku, t.j. až jeho uvedením do prevádzky.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sa zaväzuje, že dodaný predmet plnenia bude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 a v dobe jeho prevzatia kupujúcim a po dobu trvania záručnej lehoty spôsobilý na užívanie.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Predávajúci po dobu záruky uhrádza všetky náklady na záručné opravy.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Zmluvné strany sa dohodli, že akékoľvek nároky plynúce z poskytnutej záruky, uplatnené kupujúcim voči predávajúcemu, považujú obidve zmluvné strany za oprávnené a platné, pokiaľ predávajúci nepreukáže ich neoprávnenosť. Kupujúci sa zaväzuje poskytnúť predávajúcemu potrebnú súčinnosť pri získaní podkladov pre posúdenia oprávnenosti nárokov uplatnených kupujúcim.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je povinný zabezpečovať pozáručný servis predmetu plnenia. V rámci záručného servisu je predávajúci povinný vykonávať bezplatné odstránenie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predmetu plnenia, na ktoré sa vzťahuje poskytnutá záruka.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sa zaväzuje pristúpiť k posúdeniu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24 hodín od písomnej reklamácie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(e-mail) zo strany kupujúceho, inak zodpovedá za škodu tým spôsobenú kupujúcemu. Kupujúci je oprávnený uplatniť u predávajúceho nároky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písomnou formou bez zbytočného odkladu od vzniku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>. Zmluvné strany sa dohodli, že kupujúci je oprávnený u predávajúceho nároky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uplatniť i telefonicky alebo e-mailom s následným písomným potvrdením odoslaný m predávajúcemu do 5 pracovných dní. 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je povinný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ktorú sa vzťahuje záruka odstrániť podľa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termínoch: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menej závažná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 dní odo dňa jej nahlásenia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viac závažná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5 dní odo dňa jej nahlásenia.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ab/>
        <w:t xml:space="preserve">Predávajúci sa zaväzuje vykonávať bezplatný prevádzkový servis (vrátane údržby) v zmluvnom období 24 mesiacov odo dňa protokolárneho prevzatia predmetu plnenia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 kupujúcim a to v plánovaných intervaloch tak, aby predchádzal poruchám a následným výpadkom v prevádzke kamier.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>
        <w:rPr>
          <w:rFonts w:ascii="Times New Roman" w:hAnsi="Times New Roman" w:cs="Times New Roman"/>
          <w:sz w:val="24"/>
          <w:szCs w:val="24"/>
        </w:rPr>
        <w:tab/>
        <w:t xml:space="preserve">Zmluvné strany sa dohodli, že za menej závažnú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považujú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predmetu plnenia, ktorá neznemožňuje riadne a právne dovolené používanie dodaného predmetu plnenia. Viac závažnou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 účely tejto zmluvy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>. Ktorá znemožňuje riadne a právne dovolené používanie dodaného predmetu plnenia.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>
        <w:rPr>
          <w:rFonts w:ascii="Times New Roman" w:hAnsi="Times New Roman" w:cs="Times New Roman"/>
          <w:sz w:val="24"/>
          <w:szCs w:val="24"/>
        </w:rPr>
        <w:tab/>
        <w:t xml:space="preserve">Zmluvné strany sa dohodli, že bez ohľadu na lehoty dohodnuté v tomto článku zmluvy, je predávajúci povinný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odstrániť v najkratšom možnom termíne.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VIII.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Zmluvné sankcie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>Predávajúci zaplatí kupujúcemu zmluvnú pokutu vo výške 100% z kúpnej ceny podľa bodu 5.1 tejto zmluvy za omeškanie s dohodnutým termínom dodania predmetu plnenia podľa bodu 4.1 tejto zmluvy.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 xml:space="preserve">Zmluvné strany sa dohodli, že v prípade nefunkčnosti predmetu kúpy (aj časti predmetu kúpy) v záručnej dobe, ktoré budú spôsobené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ktorú sa vzťahuje záruka a nebudú odstránené dlhšie ako 5 kalendárnych dní od ich nahlásenia predávajúcemu, má kupujúci právo uplatniť voči predávajúcemu zmluvnú pokutu vo výške 0,02% z kúpnej ceny podľa bodu 5.1 tejto zmluvy, a to za každý aj začatý kalendárny deň nefunkčnosti počínajúc 6-tym dňom od dátumu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V prípade, ak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ktorú sa vzťahuje záruka nebude odstránená do 5 kalendárnych dní odo dňa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predávajúci povinný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poskytnúť kupujúcemu funkčné náhradné zariadenie, a to v lehote 5 kalendárnych dní po uplynutí 5 dňovej lehoty odo dňa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času odstránenia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 prípade nedodania takéhoto náhradného zariadenia, predávajúci zaplatí zmluvnú pokutu vo výške 0,2% z kúpnej ceny podľa bodu 5.1 tejto zmluvy, za každý aj začatý kalendárny deň omeškania po uplynutí 15 kalendárnych dní odo dňa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 náhradné zariadenie bude dodané,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nebude odstránená ani do 60 kalendárnych dní odo dňa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predávajúci povinný dodať kupujúcemu identické nové zariadenie a v prípade nedodania identického nového zariadenia, predávajúci zaplatí zmluvnú pokutu 0,5% z kúpnej ceny podľa bodu 5.1 tejto zmluvy za každý aj začatý kalendárny deň omeškania uplynutím 60 kalendárneho dňa odo dňa nahlásenia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Odstúpenie od zmluvy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Kupujúci si vyhradzuje právo odstúpiť od kúpnej zmluvy v prípade, že predmet plnenia n</w:t>
      </w:r>
      <w:r w:rsidR="003E4041">
        <w:rPr>
          <w:rFonts w:ascii="Times New Roman" w:hAnsi="Times New Roman" w:cs="Times New Roman"/>
          <w:sz w:val="24"/>
          <w:szCs w:val="24"/>
        </w:rPr>
        <w:t>ebude zrealizovaný do dvoch mesiacov od účinnosti tejto zmluvy</w:t>
      </w:r>
      <w:r>
        <w:rPr>
          <w:rFonts w:ascii="Times New Roman" w:hAnsi="Times New Roman" w:cs="Times New Roman"/>
          <w:sz w:val="24"/>
          <w:szCs w:val="24"/>
        </w:rPr>
        <w:t>. Predávajúci nemá nárok na náhradu škody.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Odstúpením od zmluvy z iného dôvodu ako je uvedené v bode 9.1 tohto článku zanikajú všetky práva a povinnosti zmluvných strán vyplývajúce z tejto zmluvy, okrem nárokov na náhradu škody, nárokov na zmluvné alebo zákonné sankcie.</w:t>
      </w:r>
    </w:p>
    <w:p w:rsidR="003E4041" w:rsidRDefault="003E4041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ab/>
        <w:t xml:space="preserve">Táto zmluva nadobúda platnosť dňom jej podpisu oprávnenými zástupcami oboch zmluvných strán. 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 xml:space="preserve">Táto zmluva nadobúda účinnosť na základe ustanovenia §47a ods. 1 zákona č. 40/1964 Zb. Občiansky zákonník v znení neskorších predpisov až dňom nasledujúcim po dni jej zverejnenia na webovom sídle  kupujúceho. Túto zmluvu v zmysle §5a zákona č. 211/2000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slobodnom prístupe k informáciám a o zmene a doplnení niektorých zákonov v platnom znení kupujúci zverejní na svojom webovom sídle. Zmluvné strany súhlasia so zverejnením celej zmluvy po jej podpise oboma zmluvnými stranami na webovom sídle kupujúceho.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>Predávajúci súhlasí s vykonaním kontroly  (auditu) overovania súvisiaceho s dodaním predmetu plnenia kedykoľvek počas platnosti a účinnosti zmluvy o poskytnutí dotácie zo štátneho rozpočtu Slovenskej republiky na rok 201</w:t>
      </w:r>
      <w:r w:rsidR="00AF55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a to oprávnenými osobami poskytovateľa v zmysle zmluvy o poskytnutí dotácie a poskytnúť im všetku potrebnú účinnosť. Predávajúci súhlasí s poskytnutím a zverejnením výsledkov realizovaného projektu za účelom prezentácie na úseku prevencie kriminality.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>
        <w:rPr>
          <w:rFonts w:ascii="Times New Roman" w:hAnsi="Times New Roman" w:cs="Times New Roman"/>
          <w:sz w:val="24"/>
          <w:szCs w:val="24"/>
        </w:rPr>
        <w:tab/>
        <w:t>Meniť alebo doplňovať obsah tejto zmluvy je možné len formou písomných číslovaných dodatkov podpísaných oprávnenými zástupcami oboch zmluvných strán.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ab/>
        <w:t>Táto zmluva je vyhotovená v štyroch exemplároch, po dva exempláre pre každú stranu.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 zmluvy:</w:t>
      </w:r>
    </w:p>
    <w:p w:rsidR="0045066F" w:rsidRDefault="0045066F" w:rsidP="0045066F">
      <w:pPr>
        <w:pStyle w:val="Odsekzoznamu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Špecifikácia predmetu plnenia –</w:t>
      </w:r>
      <w:proofErr w:type="spellStart"/>
      <w:r w:rsidR="00AF5508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="00AF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rozpočet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AF5508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Močenku dňa 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...................</w:t>
      </w:r>
      <w:bookmarkStart w:id="0" w:name="_GoBack"/>
      <w:bookmarkEnd w:id="0"/>
      <w:r w:rsidR="0045066F">
        <w:rPr>
          <w:rFonts w:ascii="Times New Roman" w:hAnsi="Times New Roman" w:cs="Times New Roman"/>
          <w:sz w:val="24"/>
          <w:szCs w:val="24"/>
        </w:rPr>
        <w:t xml:space="preserve"> dňa...............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Predávajúci: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Roman Urbánik</w:t>
      </w:r>
    </w:p>
    <w:p w:rsidR="0045066F" w:rsidRDefault="0045066F" w:rsidP="00450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starosta obce</w:t>
      </w:r>
    </w:p>
    <w:p w:rsidR="009C1E18" w:rsidRDefault="00BA0C92"/>
    <w:sectPr w:rsidR="009C1E18" w:rsidSect="0045066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2" w:rsidRDefault="00BA0C92" w:rsidP="0045066F">
      <w:pPr>
        <w:spacing w:after="0" w:line="240" w:lineRule="auto"/>
      </w:pPr>
      <w:r>
        <w:separator/>
      </w:r>
    </w:p>
  </w:endnote>
  <w:endnote w:type="continuationSeparator" w:id="0">
    <w:p w:rsidR="00BA0C92" w:rsidRDefault="00BA0C92" w:rsidP="004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481914"/>
      <w:docPartObj>
        <w:docPartGallery w:val="Page Numbers (Bottom of Page)"/>
        <w:docPartUnique/>
      </w:docPartObj>
    </w:sdtPr>
    <w:sdtEndPr/>
    <w:sdtContent>
      <w:p w:rsidR="0045066F" w:rsidRDefault="0045066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08">
          <w:rPr>
            <w:noProof/>
          </w:rPr>
          <w:t>4</w:t>
        </w:r>
        <w:r>
          <w:fldChar w:fldCharType="end"/>
        </w:r>
      </w:p>
    </w:sdtContent>
  </w:sdt>
  <w:p w:rsidR="0045066F" w:rsidRDefault="004506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2" w:rsidRDefault="00BA0C92" w:rsidP="0045066F">
      <w:pPr>
        <w:spacing w:after="0" w:line="240" w:lineRule="auto"/>
      </w:pPr>
      <w:r>
        <w:separator/>
      </w:r>
    </w:p>
  </w:footnote>
  <w:footnote w:type="continuationSeparator" w:id="0">
    <w:p w:rsidR="00BA0C92" w:rsidRDefault="00BA0C92" w:rsidP="0045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8F377F7"/>
    <w:multiLevelType w:val="hybridMultilevel"/>
    <w:tmpl w:val="7632C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C4"/>
    <w:rsid w:val="00130CF3"/>
    <w:rsid w:val="00272286"/>
    <w:rsid w:val="003E4041"/>
    <w:rsid w:val="0045066F"/>
    <w:rsid w:val="0052466D"/>
    <w:rsid w:val="006129B4"/>
    <w:rsid w:val="00913D83"/>
    <w:rsid w:val="00A432D1"/>
    <w:rsid w:val="00AB73F9"/>
    <w:rsid w:val="00AF5508"/>
    <w:rsid w:val="00B56118"/>
    <w:rsid w:val="00BA0C92"/>
    <w:rsid w:val="00CB00A8"/>
    <w:rsid w:val="00DE6488"/>
    <w:rsid w:val="00ED21CD"/>
    <w:rsid w:val="00ED6742"/>
    <w:rsid w:val="00F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66F"/>
    <w:pPr>
      <w:suppressAutoHyphens/>
    </w:pPr>
    <w:rPr>
      <w:rFonts w:ascii="Calibri" w:eastAsia="SimSun" w:hAnsi="Calibri" w:cs="font279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5066F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4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066F"/>
    <w:rPr>
      <w:rFonts w:ascii="Calibri" w:eastAsia="SimSun" w:hAnsi="Calibri" w:cs="font279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066F"/>
    <w:rPr>
      <w:rFonts w:ascii="Calibri" w:eastAsia="SimSun" w:hAnsi="Calibri" w:cs="font279"/>
      <w:lang w:eastAsia="ar-SA"/>
    </w:rPr>
  </w:style>
  <w:style w:type="paragraph" w:styleId="Odsekzoznamu">
    <w:name w:val="List Paragraph"/>
    <w:aliases w:val="body"/>
    <w:basedOn w:val="Normlny"/>
    <w:link w:val="OdsekzoznamuChar"/>
    <w:uiPriority w:val="1"/>
    <w:qFormat/>
    <w:rsid w:val="00A432D1"/>
    <w:pPr>
      <w:widowControl w:val="0"/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 w:bidi="sk-SK"/>
    </w:rPr>
  </w:style>
  <w:style w:type="character" w:customStyle="1" w:styleId="OdsekzoznamuChar">
    <w:name w:val="Odsek zoznamu Char"/>
    <w:aliases w:val="body Char"/>
    <w:link w:val="Odsekzoznamu"/>
    <w:uiPriority w:val="1"/>
    <w:locked/>
    <w:rsid w:val="00A432D1"/>
    <w:rPr>
      <w:rFonts w:ascii="Times New Roman" w:eastAsia="Times New Roman" w:hAnsi="Times New Roman" w:cs="Times New Roman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66F"/>
    <w:pPr>
      <w:suppressAutoHyphens/>
    </w:pPr>
    <w:rPr>
      <w:rFonts w:ascii="Calibri" w:eastAsia="SimSun" w:hAnsi="Calibri" w:cs="font279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5066F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4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066F"/>
    <w:rPr>
      <w:rFonts w:ascii="Calibri" w:eastAsia="SimSun" w:hAnsi="Calibri" w:cs="font279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066F"/>
    <w:rPr>
      <w:rFonts w:ascii="Calibri" w:eastAsia="SimSun" w:hAnsi="Calibri" w:cs="font279"/>
      <w:lang w:eastAsia="ar-SA"/>
    </w:rPr>
  </w:style>
  <w:style w:type="paragraph" w:styleId="Odsekzoznamu">
    <w:name w:val="List Paragraph"/>
    <w:aliases w:val="body"/>
    <w:basedOn w:val="Normlny"/>
    <w:link w:val="OdsekzoznamuChar"/>
    <w:uiPriority w:val="1"/>
    <w:qFormat/>
    <w:rsid w:val="00A432D1"/>
    <w:pPr>
      <w:widowControl w:val="0"/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 w:bidi="sk-SK"/>
    </w:rPr>
  </w:style>
  <w:style w:type="character" w:customStyle="1" w:styleId="OdsekzoznamuChar">
    <w:name w:val="Odsek zoznamu Char"/>
    <w:aliases w:val="body Char"/>
    <w:link w:val="Odsekzoznamu"/>
    <w:uiPriority w:val="1"/>
    <w:locked/>
    <w:rsid w:val="00A432D1"/>
    <w:rPr>
      <w:rFonts w:ascii="Times New Roman" w:eastAsia="Times New Roman" w:hAnsi="Times New Roman" w:cs="Times New Roman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5</cp:revision>
  <dcterms:created xsi:type="dcterms:W3CDTF">2020-04-14T11:18:00Z</dcterms:created>
  <dcterms:modified xsi:type="dcterms:W3CDTF">2020-04-15T07:03:00Z</dcterms:modified>
</cp:coreProperties>
</file>